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44" w:rsidRPr="00F84135" w:rsidRDefault="00262744" w:rsidP="00F84135">
      <w:pPr>
        <w:jc w:val="center"/>
        <w:rPr>
          <w:b/>
          <w:sz w:val="24"/>
          <w:szCs w:val="24"/>
        </w:rPr>
      </w:pPr>
      <w:r w:rsidRPr="00F84135">
        <w:rPr>
          <w:b/>
          <w:sz w:val="24"/>
          <w:szCs w:val="24"/>
        </w:rPr>
        <w:t xml:space="preserve">Ranking of </w:t>
      </w:r>
      <w:r w:rsidR="00071B6A">
        <w:rPr>
          <w:b/>
          <w:sz w:val="24"/>
          <w:szCs w:val="24"/>
        </w:rPr>
        <w:t xml:space="preserve">Erie </w:t>
      </w:r>
      <w:r w:rsidR="004B433E" w:rsidRPr="00F84135">
        <w:rPr>
          <w:b/>
          <w:sz w:val="24"/>
          <w:szCs w:val="24"/>
        </w:rPr>
        <w:t xml:space="preserve">County </w:t>
      </w:r>
      <w:proofErr w:type="spellStart"/>
      <w:r w:rsidR="004B433E" w:rsidRPr="00F84135">
        <w:rPr>
          <w:b/>
          <w:sz w:val="24"/>
          <w:szCs w:val="24"/>
        </w:rPr>
        <w:t>CoC</w:t>
      </w:r>
      <w:proofErr w:type="spellEnd"/>
      <w:r w:rsidR="004B433E" w:rsidRPr="00F84135">
        <w:rPr>
          <w:b/>
          <w:sz w:val="24"/>
          <w:szCs w:val="24"/>
        </w:rPr>
        <w:t xml:space="preserve"> Renewal Projects</w:t>
      </w:r>
    </w:p>
    <w:p w:rsidR="00822911" w:rsidRDefault="005C0CE3" w:rsidP="004A5EC6">
      <w:pPr>
        <w:jc w:val="both"/>
      </w:pPr>
      <w:r>
        <w:t>Under</w:t>
      </w:r>
      <w:r w:rsidR="00F73100">
        <w:t xml:space="preserve"> 201</w:t>
      </w:r>
      <w:r w:rsidR="00061B5C">
        <w:t>6</w:t>
      </w:r>
      <w:r w:rsidR="00F73100">
        <w:t xml:space="preserve"> HUD Continuum of Care </w:t>
      </w:r>
      <w:r>
        <w:t>process</w:t>
      </w:r>
      <w:r w:rsidR="003B6690">
        <w:t>,</w:t>
      </w:r>
      <w:r>
        <w:t xml:space="preserve"> </w:t>
      </w:r>
      <w:r w:rsidR="00071B6A">
        <w:t xml:space="preserve">Erie </w:t>
      </w:r>
      <w:r>
        <w:t>County Continuum of Care will be required to rank order all renewal projects</w:t>
      </w:r>
      <w:r w:rsidR="00F73100">
        <w:t xml:space="preserve">. </w:t>
      </w:r>
      <w:proofErr w:type="gramStart"/>
      <w:r w:rsidR="00F73100">
        <w:t xml:space="preserve">In order to rank all renewals </w:t>
      </w:r>
      <w:r w:rsidR="00E13A04">
        <w:t>in a fair and impartial manner</w:t>
      </w:r>
      <w:r w:rsidR="008D6375">
        <w:t xml:space="preserve"> using</w:t>
      </w:r>
      <w:r w:rsidR="000D7EB3">
        <w:t xml:space="preserve"> performance data</w:t>
      </w:r>
      <w:r w:rsidR="00F84135">
        <w:t xml:space="preserve"> as recommended by HUD</w:t>
      </w:r>
      <w:r w:rsidR="00071B6A" w:rsidRPr="00EE56C3">
        <w:t>.</w:t>
      </w:r>
      <w:proofErr w:type="gramEnd"/>
      <w:r w:rsidR="001A16DB" w:rsidRPr="00EE56C3">
        <w:t xml:space="preserve"> </w:t>
      </w:r>
      <w:r w:rsidR="00EE56C3" w:rsidRPr="00EE56C3">
        <w:t xml:space="preserve"> </w:t>
      </w:r>
      <w:r w:rsidR="00EE56C3">
        <w:t xml:space="preserve">A </w:t>
      </w:r>
      <w:r w:rsidR="00EE56C3" w:rsidRPr="00EE56C3">
        <w:t>70</w:t>
      </w:r>
      <w:r w:rsidR="001A16DB" w:rsidRPr="00EE56C3">
        <w:t xml:space="preserve"> </w:t>
      </w:r>
      <w:r w:rsidR="00F73100" w:rsidRPr="00EE56C3">
        <w:t>po</w:t>
      </w:r>
      <w:r w:rsidR="00F73100">
        <w:t xml:space="preserve">int </w:t>
      </w:r>
      <w:r w:rsidR="00E13A04">
        <w:t xml:space="preserve">evaluation </w:t>
      </w:r>
      <w:r w:rsidR="00F73100">
        <w:t>system</w:t>
      </w:r>
      <w:r w:rsidR="00F049A3">
        <w:t xml:space="preserve"> based </w:t>
      </w:r>
      <w:r w:rsidR="00F73100">
        <w:t>up</w:t>
      </w:r>
      <w:r w:rsidR="00F049A3">
        <w:t>on</w:t>
      </w:r>
      <w:r w:rsidR="00F73100">
        <w:t xml:space="preserve"> performance</w:t>
      </w:r>
      <w:r w:rsidR="00E13A04">
        <w:t xml:space="preserve"> </w:t>
      </w:r>
      <w:r>
        <w:t xml:space="preserve">and grant funding utilization </w:t>
      </w:r>
      <w:r w:rsidR="00E13A04">
        <w:t>was developed</w:t>
      </w:r>
      <w:r w:rsidR="00061B5C">
        <w:t xml:space="preserve"> by the Continuum of Care Committee and approved by the </w:t>
      </w:r>
      <w:proofErr w:type="spellStart"/>
      <w:r w:rsidR="00061B5C">
        <w:t>Home</w:t>
      </w:r>
      <w:r w:rsidR="00071B6A">
        <w:t>Team</w:t>
      </w:r>
      <w:proofErr w:type="spellEnd"/>
      <w:r w:rsidR="00071B6A">
        <w:t xml:space="preserve"> Executive Committee August 18</w:t>
      </w:r>
      <w:r w:rsidR="00061B5C">
        <w:t>, 2016</w:t>
      </w:r>
      <w:r w:rsidR="00E13A04">
        <w:t>. The</w:t>
      </w:r>
      <w:r w:rsidR="00F73100">
        <w:t xml:space="preserve"> criteria</w:t>
      </w:r>
      <w:r w:rsidR="00E13A04">
        <w:t xml:space="preserve"> for the ranking came from the </w:t>
      </w:r>
      <w:r>
        <w:t>program’s</w:t>
      </w:r>
      <w:r w:rsidR="00E13A04">
        <w:t xml:space="preserve"> </w:t>
      </w:r>
      <w:r w:rsidR="000D7EB3">
        <w:t xml:space="preserve">last submitted </w:t>
      </w:r>
      <w:r w:rsidR="00E13A04">
        <w:t>APR</w:t>
      </w:r>
      <w:r w:rsidR="000D7EB3">
        <w:t xml:space="preserve"> to HUD</w:t>
      </w:r>
      <w:r w:rsidR="00061B5C">
        <w:t xml:space="preserve"> in ESNAPS</w:t>
      </w:r>
      <w:r>
        <w:t xml:space="preserve">, the January </w:t>
      </w:r>
      <w:r w:rsidR="00DD7A87">
        <w:t>2</w:t>
      </w:r>
      <w:r w:rsidR="00061B5C">
        <w:t>7</w:t>
      </w:r>
      <w:r>
        <w:t>, 201</w:t>
      </w:r>
      <w:r w:rsidR="00061B5C">
        <w:t>6</w:t>
      </w:r>
      <w:r>
        <w:t xml:space="preserve"> Point in Time</w:t>
      </w:r>
      <w:r w:rsidR="00691061">
        <w:t xml:space="preserve"> </w:t>
      </w:r>
      <w:r>
        <w:t xml:space="preserve">and the amount of funding not utilized by the agency during the </w:t>
      </w:r>
      <w:r w:rsidR="00061B5C">
        <w:t xml:space="preserve">last </w:t>
      </w:r>
      <w:r>
        <w:t>APR period</w:t>
      </w:r>
      <w:r w:rsidR="00061B5C">
        <w:t xml:space="preserve"> (FY 14-15)</w:t>
      </w:r>
      <w:r w:rsidR="00F25F6A">
        <w:t>.</w:t>
      </w:r>
      <w:r w:rsidR="008D6375">
        <w:t xml:space="preserve"> </w:t>
      </w:r>
      <w:r w:rsidR="002A0A23">
        <w:t xml:space="preserve">Overall score </w:t>
      </w:r>
      <w:r w:rsidR="00061B5C">
        <w:t>will</w:t>
      </w:r>
      <w:r w:rsidR="002A0A23">
        <w:t xml:space="preserve"> equal </w:t>
      </w:r>
      <w:r w:rsidR="00EE56C3">
        <w:t>74</w:t>
      </w:r>
      <w:r w:rsidR="002A0A23" w:rsidRPr="001A16DB">
        <w:rPr>
          <w:b/>
          <w:color w:val="FF0000"/>
        </w:rPr>
        <w:t xml:space="preserve"> </w:t>
      </w:r>
      <w:r w:rsidR="002A0A23" w:rsidRPr="001A16DB">
        <w:rPr>
          <w:b/>
        </w:rPr>
        <w:t>p</w:t>
      </w:r>
      <w:r w:rsidR="002A0A23">
        <w:t xml:space="preserve">oints maximum when project receives a perfect score for </w:t>
      </w:r>
      <w:r w:rsidR="004A6DF3">
        <w:t>all performance benchmarks</w:t>
      </w:r>
      <w:r w:rsidR="00950B38">
        <w:t>.</w:t>
      </w:r>
      <w:r w:rsidR="00061B5C">
        <w:t xml:space="preserve"> </w:t>
      </w:r>
      <w:r w:rsidR="00822911">
        <w:t>The benchmarks that are established for the evaluation include the following:</w:t>
      </w:r>
    </w:p>
    <w:p w:rsidR="00822911" w:rsidRDefault="00822911" w:rsidP="00822911">
      <w:pPr>
        <w:ind w:firstLine="720"/>
        <w:jc w:val="both"/>
      </w:pPr>
      <w:r>
        <w:t>Utilization of Beds on the P</w:t>
      </w:r>
      <w:r w:rsidR="00E0641B">
        <w:t>oint in Time on January 2</w:t>
      </w:r>
      <w:r w:rsidR="005E6FAA">
        <w:t>7</w:t>
      </w:r>
      <w:r w:rsidR="00E0641B">
        <w:t>, 201</w:t>
      </w:r>
      <w:r w:rsidR="005E6FAA">
        <w:t>6</w:t>
      </w:r>
    </w:p>
    <w:p w:rsidR="00822911" w:rsidRDefault="00012335" w:rsidP="00822911">
      <w:pPr>
        <w:ind w:firstLine="720"/>
        <w:jc w:val="both"/>
      </w:pPr>
      <w:proofErr w:type="gramStart"/>
      <w:r>
        <w:t xml:space="preserve">Utilization </w:t>
      </w:r>
      <w:r w:rsidR="00822911">
        <w:t xml:space="preserve">of Units on the last Wednesday </w:t>
      </w:r>
      <w:r>
        <w:t xml:space="preserve">in </w:t>
      </w:r>
      <w:r w:rsidR="00822911">
        <w:t xml:space="preserve">January, April, </w:t>
      </w:r>
      <w:r w:rsidR="001F1820">
        <w:t>July and October.</w:t>
      </w:r>
      <w:proofErr w:type="gramEnd"/>
    </w:p>
    <w:p w:rsidR="00822911" w:rsidRDefault="00822911" w:rsidP="00822911">
      <w:pPr>
        <w:ind w:left="720"/>
        <w:jc w:val="both"/>
      </w:pPr>
      <w:r>
        <w:t>8</w:t>
      </w:r>
      <w:r w:rsidR="008450B3">
        <w:t>5</w:t>
      </w:r>
      <w:r>
        <w:t>%</w:t>
      </w:r>
      <w:r w:rsidR="001D4AED">
        <w:t xml:space="preserve"> of the Consumers in Permanent H</w:t>
      </w:r>
      <w:r>
        <w:t xml:space="preserve">ousing will </w:t>
      </w:r>
      <w:r w:rsidR="001D4AED">
        <w:t>s</w:t>
      </w:r>
      <w:r>
        <w:t>tay at the end of the APR or exit to Permanent Housing</w:t>
      </w:r>
    </w:p>
    <w:p w:rsidR="00822911" w:rsidRDefault="00E05110" w:rsidP="00822911">
      <w:pPr>
        <w:ind w:left="720"/>
        <w:jc w:val="both"/>
      </w:pPr>
      <w:r w:rsidRPr="00BF729B">
        <w:t>8</w:t>
      </w:r>
      <w:r w:rsidR="008450B3" w:rsidRPr="00BF729B">
        <w:t>0</w:t>
      </w:r>
      <w:r w:rsidR="00822911">
        <w:t xml:space="preserve">% of the </w:t>
      </w:r>
      <w:r w:rsidR="001D4AED">
        <w:t xml:space="preserve">exiting </w:t>
      </w:r>
      <w:r w:rsidR="00822911">
        <w:t>Consumers in Transitional Housing will exit to Permanent Housing</w:t>
      </w:r>
      <w:r w:rsidR="00DF319F">
        <w:t xml:space="preserve"> (Projects </w:t>
      </w:r>
      <w:proofErr w:type="gramStart"/>
      <w:r w:rsidR="00DF319F">
        <w:t>exceeding</w:t>
      </w:r>
      <w:proofErr w:type="gramEnd"/>
      <w:r w:rsidR="00DF319F">
        <w:t xml:space="preserve"> this HUD goal will receive more points.)</w:t>
      </w:r>
    </w:p>
    <w:p w:rsidR="006E2470" w:rsidRDefault="00966908" w:rsidP="00822911">
      <w:pPr>
        <w:ind w:left="720"/>
        <w:jc w:val="both"/>
      </w:pPr>
      <w:r>
        <w:t xml:space="preserve">75% of the ADULT Consumers will </w:t>
      </w:r>
      <w:r w:rsidRPr="00BF729B">
        <w:t xml:space="preserve">maintain or </w:t>
      </w:r>
      <w:r>
        <w:t>increase income</w:t>
      </w:r>
      <w:r w:rsidR="001D4AED">
        <w:t xml:space="preserve"> </w:t>
      </w:r>
    </w:p>
    <w:p w:rsidR="00966908" w:rsidRDefault="00966908" w:rsidP="00822911">
      <w:pPr>
        <w:ind w:left="720"/>
        <w:jc w:val="both"/>
      </w:pPr>
      <w:r>
        <w:t>20% of the ADULT Consumers will be employed</w:t>
      </w:r>
      <w:r w:rsidR="001D4AED">
        <w:t xml:space="preserve"> </w:t>
      </w:r>
    </w:p>
    <w:p w:rsidR="00822911" w:rsidRDefault="00D84283" w:rsidP="00966908">
      <w:pPr>
        <w:ind w:left="720"/>
        <w:jc w:val="both"/>
      </w:pPr>
      <w:r>
        <w:t>50</w:t>
      </w:r>
      <w:r w:rsidR="00966908">
        <w:t>% of the ADULT Consumers will receive one or more non-cash benefit</w:t>
      </w:r>
    </w:p>
    <w:p w:rsidR="00EA6922" w:rsidRDefault="00EA6922"/>
    <w:p w:rsidR="00691061" w:rsidRPr="008C0161" w:rsidRDefault="00492930" w:rsidP="008C0161">
      <w:pPr>
        <w:rPr>
          <w:b/>
          <w:u w:val="single"/>
        </w:rPr>
      </w:pPr>
      <w:r>
        <w:rPr>
          <w:b/>
          <w:u w:val="single"/>
        </w:rPr>
        <w:t xml:space="preserve">Section 1: </w:t>
      </w:r>
      <w:r w:rsidR="00691061" w:rsidRPr="008C0161">
        <w:rPr>
          <w:b/>
          <w:u w:val="single"/>
        </w:rPr>
        <w:t>Utilization of Beds and Units</w:t>
      </w:r>
    </w:p>
    <w:p w:rsidR="004A3777" w:rsidRDefault="005C0CE3" w:rsidP="00E16105">
      <w:r>
        <w:t xml:space="preserve">Utilization of beds on the night of January </w:t>
      </w:r>
      <w:r w:rsidR="00691061">
        <w:t>2</w:t>
      </w:r>
      <w:r w:rsidR="009D5A06">
        <w:t>7</w:t>
      </w:r>
      <w:r>
        <w:t>, 201</w:t>
      </w:r>
      <w:r w:rsidR="009D5A06">
        <w:t>6</w:t>
      </w:r>
      <w:r w:rsidR="00783D79">
        <w:t xml:space="preserve"> </w:t>
      </w:r>
      <w:r>
        <w:t xml:space="preserve">(MAX </w:t>
      </w:r>
      <w:r w:rsidRPr="00EE56C3">
        <w:t>5</w:t>
      </w:r>
      <w:r>
        <w:t xml:space="preserve"> Points)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6D7AC1" w:rsidTr="00A508CD">
        <w:tc>
          <w:tcPr>
            <w:tcW w:w="3420" w:type="dxa"/>
          </w:tcPr>
          <w:p w:rsidR="006D7AC1" w:rsidRDefault="00B91F25" w:rsidP="006D7AC1">
            <w:pPr>
              <w:jc w:val="center"/>
            </w:pPr>
            <w:r>
              <w:t>Percentage</w:t>
            </w:r>
          </w:p>
        </w:tc>
        <w:tc>
          <w:tcPr>
            <w:tcW w:w="1440" w:type="dxa"/>
          </w:tcPr>
          <w:p w:rsidR="006D7AC1" w:rsidRDefault="006D7AC1" w:rsidP="006D7AC1">
            <w:pPr>
              <w:jc w:val="center"/>
            </w:pPr>
            <w:r>
              <w:t>Points</w:t>
            </w:r>
          </w:p>
        </w:tc>
      </w:tr>
      <w:tr w:rsidR="000D7EB3" w:rsidTr="00A508CD">
        <w:tc>
          <w:tcPr>
            <w:tcW w:w="3420" w:type="dxa"/>
          </w:tcPr>
          <w:p w:rsidR="000D7EB3" w:rsidRDefault="006D7AC1" w:rsidP="00B91F25">
            <w:r>
              <w:t>8</w:t>
            </w:r>
            <w:r w:rsidR="00B91F25">
              <w:t>5</w:t>
            </w:r>
            <w:r>
              <w:t xml:space="preserve">% </w:t>
            </w:r>
            <w:r w:rsidR="00C21690">
              <w:t>and above</w:t>
            </w:r>
          </w:p>
        </w:tc>
        <w:tc>
          <w:tcPr>
            <w:tcW w:w="1440" w:type="dxa"/>
          </w:tcPr>
          <w:p w:rsidR="000D7EB3" w:rsidRDefault="006D7AC1" w:rsidP="006D7AC1">
            <w:pPr>
              <w:jc w:val="center"/>
            </w:pPr>
            <w:r>
              <w:t>5</w:t>
            </w:r>
          </w:p>
        </w:tc>
      </w:tr>
      <w:tr w:rsidR="000D7EB3" w:rsidTr="00A508CD">
        <w:tc>
          <w:tcPr>
            <w:tcW w:w="3420" w:type="dxa"/>
          </w:tcPr>
          <w:p w:rsidR="000D7EB3" w:rsidRDefault="006D7AC1" w:rsidP="00691061">
            <w:r>
              <w:t>75% – 8</w:t>
            </w:r>
            <w:r w:rsidR="00691061">
              <w:t>5</w:t>
            </w:r>
            <w:r>
              <w:t>%</w:t>
            </w:r>
          </w:p>
        </w:tc>
        <w:tc>
          <w:tcPr>
            <w:tcW w:w="1440" w:type="dxa"/>
          </w:tcPr>
          <w:p w:rsidR="000D7EB3" w:rsidRDefault="006D7AC1" w:rsidP="006D7AC1">
            <w:pPr>
              <w:jc w:val="center"/>
            </w:pPr>
            <w:r>
              <w:t>4</w:t>
            </w:r>
          </w:p>
        </w:tc>
      </w:tr>
      <w:tr w:rsidR="000D7EB3" w:rsidTr="00A508CD">
        <w:tc>
          <w:tcPr>
            <w:tcW w:w="3420" w:type="dxa"/>
          </w:tcPr>
          <w:p w:rsidR="000D7EB3" w:rsidRDefault="006D7AC1" w:rsidP="000D7EB3">
            <w:r>
              <w:t>60% - 74%</w:t>
            </w:r>
          </w:p>
        </w:tc>
        <w:tc>
          <w:tcPr>
            <w:tcW w:w="1440" w:type="dxa"/>
          </w:tcPr>
          <w:p w:rsidR="000D7EB3" w:rsidRDefault="006D7AC1" w:rsidP="006D7AC1">
            <w:pPr>
              <w:jc w:val="center"/>
            </w:pPr>
            <w:r>
              <w:t>3</w:t>
            </w:r>
          </w:p>
        </w:tc>
      </w:tr>
      <w:tr w:rsidR="000D7EB3" w:rsidTr="00A508CD">
        <w:tc>
          <w:tcPr>
            <w:tcW w:w="3420" w:type="dxa"/>
          </w:tcPr>
          <w:p w:rsidR="000D7EB3" w:rsidRDefault="006D7AC1" w:rsidP="000D7EB3">
            <w:r>
              <w:t>50% - 59%</w:t>
            </w:r>
          </w:p>
        </w:tc>
        <w:tc>
          <w:tcPr>
            <w:tcW w:w="1440" w:type="dxa"/>
          </w:tcPr>
          <w:p w:rsidR="000D7EB3" w:rsidRDefault="006D7AC1" w:rsidP="006D7AC1">
            <w:pPr>
              <w:jc w:val="center"/>
            </w:pPr>
            <w:r>
              <w:t>2</w:t>
            </w:r>
          </w:p>
        </w:tc>
      </w:tr>
      <w:tr w:rsidR="000D7EB3" w:rsidTr="00A508CD">
        <w:tc>
          <w:tcPr>
            <w:tcW w:w="3420" w:type="dxa"/>
          </w:tcPr>
          <w:p w:rsidR="000D7EB3" w:rsidRDefault="006D7AC1" w:rsidP="000D7EB3">
            <w:r>
              <w:t>25% - 49%</w:t>
            </w:r>
          </w:p>
        </w:tc>
        <w:tc>
          <w:tcPr>
            <w:tcW w:w="1440" w:type="dxa"/>
          </w:tcPr>
          <w:p w:rsidR="000D7EB3" w:rsidRDefault="006D7AC1" w:rsidP="006D7AC1">
            <w:pPr>
              <w:jc w:val="center"/>
            </w:pPr>
            <w:r>
              <w:t>1</w:t>
            </w:r>
          </w:p>
        </w:tc>
      </w:tr>
      <w:tr w:rsidR="000D7EB3" w:rsidTr="00A508CD">
        <w:tc>
          <w:tcPr>
            <w:tcW w:w="3420" w:type="dxa"/>
          </w:tcPr>
          <w:p w:rsidR="000D7EB3" w:rsidRDefault="006D7AC1" w:rsidP="000D7EB3">
            <w:r>
              <w:t>24% and below</w:t>
            </w:r>
          </w:p>
        </w:tc>
        <w:tc>
          <w:tcPr>
            <w:tcW w:w="1440" w:type="dxa"/>
          </w:tcPr>
          <w:p w:rsidR="000D7EB3" w:rsidRDefault="006D7AC1" w:rsidP="006D7AC1">
            <w:pPr>
              <w:jc w:val="center"/>
            </w:pPr>
            <w:r>
              <w:t>0</w:t>
            </w:r>
          </w:p>
        </w:tc>
      </w:tr>
    </w:tbl>
    <w:p w:rsidR="00071B6A" w:rsidRDefault="00071B6A" w:rsidP="00E16105"/>
    <w:p w:rsidR="00071B6A" w:rsidRDefault="00071B6A" w:rsidP="00E16105"/>
    <w:p w:rsidR="006D7AC1" w:rsidRDefault="00E13A04" w:rsidP="00E16105">
      <w:r>
        <w:lastRenderedPageBreak/>
        <w:t>U</w:t>
      </w:r>
      <w:r w:rsidR="00F049A3">
        <w:t xml:space="preserve">tilization rates </w:t>
      </w:r>
      <w:r>
        <w:t xml:space="preserve">of </w:t>
      </w:r>
      <w:r w:rsidR="005C0CE3">
        <w:t>unit</w:t>
      </w:r>
      <w:r>
        <w:t>s</w:t>
      </w:r>
      <w:r w:rsidR="006D7AC1">
        <w:t xml:space="preserve"> on </w:t>
      </w:r>
      <w:r>
        <w:t>the last Wednesday in January, April, July and October</w:t>
      </w:r>
      <w:r w:rsidR="000D25CF">
        <w:t>. This information is reported on Question 11 of the last APR submitted to HUD in ESNAPS.</w:t>
      </w:r>
      <w:r w:rsidR="00895C88">
        <w:t xml:space="preserve"> </w:t>
      </w:r>
      <w:r w:rsidR="006D7AC1">
        <w:t>(Each section can receive points-</w:t>
      </w:r>
      <w:r w:rsidR="002E6E50">
        <w:t>MAX 5 Points</w:t>
      </w:r>
      <w:r w:rsidR="005C0CE3">
        <w:t xml:space="preserve"> per quarter</w:t>
      </w:r>
      <w:r w:rsidR="006D7AC1">
        <w:t xml:space="preserve"> or </w:t>
      </w:r>
      <w:r w:rsidR="006D7AC1" w:rsidRPr="00EE56C3">
        <w:t>20</w:t>
      </w:r>
      <w:r w:rsidR="006D7AC1">
        <w:t xml:space="preserve"> points overall</w:t>
      </w:r>
      <w:r w:rsidR="003B6690">
        <w:t>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6D7AC1" w:rsidTr="00A508CD">
        <w:tc>
          <w:tcPr>
            <w:tcW w:w="3420" w:type="dxa"/>
          </w:tcPr>
          <w:p w:rsidR="006D7AC1" w:rsidRDefault="00A508CD" w:rsidP="00651004">
            <w:pPr>
              <w:jc w:val="center"/>
            </w:pPr>
            <w:r>
              <w:t>Percentage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Points</w:t>
            </w:r>
          </w:p>
        </w:tc>
      </w:tr>
      <w:tr w:rsidR="00B91F25" w:rsidTr="00A508CD">
        <w:tc>
          <w:tcPr>
            <w:tcW w:w="3420" w:type="dxa"/>
          </w:tcPr>
          <w:p w:rsidR="00B91F25" w:rsidRDefault="00B91F25" w:rsidP="00B91F25">
            <w:r>
              <w:t xml:space="preserve">85% </w:t>
            </w:r>
            <w:r w:rsidR="00C21690">
              <w:t>and above</w:t>
            </w:r>
          </w:p>
        </w:tc>
        <w:tc>
          <w:tcPr>
            <w:tcW w:w="1440" w:type="dxa"/>
          </w:tcPr>
          <w:p w:rsidR="00B91F25" w:rsidRDefault="00B91F25" w:rsidP="00B91F25">
            <w:pPr>
              <w:jc w:val="center"/>
            </w:pPr>
            <w:r>
              <w:t>5</w:t>
            </w:r>
          </w:p>
        </w:tc>
      </w:tr>
      <w:tr w:rsidR="00B91F25" w:rsidTr="00A508CD">
        <w:tc>
          <w:tcPr>
            <w:tcW w:w="3420" w:type="dxa"/>
          </w:tcPr>
          <w:p w:rsidR="00B91F25" w:rsidRDefault="00B91F25" w:rsidP="00B91F25">
            <w:r>
              <w:t>75% – 85%</w:t>
            </w:r>
          </w:p>
        </w:tc>
        <w:tc>
          <w:tcPr>
            <w:tcW w:w="1440" w:type="dxa"/>
          </w:tcPr>
          <w:p w:rsidR="00B91F25" w:rsidRDefault="00B91F25" w:rsidP="00B91F25">
            <w:pPr>
              <w:jc w:val="center"/>
            </w:pPr>
            <w:r>
              <w:t>4</w:t>
            </w:r>
          </w:p>
        </w:tc>
      </w:tr>
      <w:tr w:rsidR="00B91F25" w:rsidTr="00A508CD">
        <w:tc>
          <w:tcPr>
            <w:tcW w:w="3420" w:type="dxa"/>
          </w:tcPr>
          <w:p w:rsidR="00B91F25" w:rsidRDefault="00B91F25" w:rsidP="00B91F25">
            <w:r>
              <w:t>60% - 74%</w:t>
            </w:r>
          </w:p>
        </w:tc>
        <w:tc>
          <w:tcPr>
            <w:tcW w:w="1440" w:type="dxa"/>
          </w:tcPr>
          <w:p w:rsidR="00B91F25" w:rsidRDefault="00B91F25" w:rsidP="00B91F25">
            <w:pPr>
              <w:jc w:val="center"/>
            </w:pPr>
            <w:r>
              <w:t>3</w:t>
            </w:r>
          </w:p>
        </w:tc>
      </w:tr>
      <w:tr w:rsidR="00B91F25" w:rsidTr="00A508CD">
        <w:tc>
          <w:tcPr>
            <w:tcW w:w="3420" w:type="dxa"/>
          </w:tcPr>
          <w:p w:rsidR="00B91F25" w:rsidRDefault="00B91F25" w:rsidP="00B91F25">
            <w:r>
              <w:t>50% - 59%</w:t>
            </w:r>
          </w:p>
        </w:tc>
        <w:tc>
          <w:tcPr>
            <w:tcW w:w="1440" w:type="dxa"/>
          </w:tcPr>
          <w:p w:rsidR="00B91F25" w:rsidRDefault="00B91F25" w:rsidP="00B91F25">
            <w:pPr>
              <w:jc w:val="center"/>
            </w:pPr>
            <w:r>
              <w:t>2</w:t>
            </w:r>
          </w:p>
        </w:tc>
      </w:tr>
      <w:tr w:rsidR="00B91F25" w:rsidTr="00A508CD">
        <w:tc>
          <w:tcPr>
            <w:tcW w:w="3420" w:type="dxa"/>
          </w:tcPr>
          <w:p w:rsidR="00B91F25" w:rsidRDefault="00B91F25" w:rsidP="00B91F25">
            <w:r>
              <w:t>25% - 49%</w:t>
            </w:r>
          </w:p>
        </w:tc>
        <w:tc>
          <w:tcPr>
            <w:tcW w:w="1440" w:type="dxa"/>
          </w:tcPr>
          <w:p w:rsidR="00B91F25" w:rsidRDefault="00B91F25" w:rsidP="00B91F25">
            <w:pPr>
              <w:jc w:val="center"/>
            </w:pPr>
            <w:r>
              <w:t>1</w:t>
            </w:r>
          </w:p>
        </w:tc>
      </w:tr>
      <w:tr w:rsidR="00B91F25" w:rsidTr="00A508CD">
        <w:tc>
          <w:tcPr>
            <w:tcW w:w="3420" w:type="dxa"/>
          </w:tcPr>
          <w:p w:rsidR="00B91F25" w:rsidRDefault="00B91F25" w:rsidP="00B91F25">
            <w:r>
              <w:t>24% and below</w:t>
            </w:r>
          </w:p>
        </w:tc>
        <w:tc>
          <w:tcPr>
            <w:tcW w:w="1440" w:type="dxa"/>
          </w:tcPr>
          <w:p w:rsidR="00B91F25" w:rsidRDefault="00B91F25" w:rsidP="00B91F25">
            <w:pPr>
              <w:jc w:val="center"/>
            </w:pPr>
            <w:r>
              <w:t>0</w:t>
            </w:r>
          </w:p>
        </w:tc>
      </w:tr>
    </w:tbl>
    <w:p w:rsidR="00E16105" w:rsidRDefault="00E16105" w:rsidP="00492930"/>
    <w:p w:rsidR="00E16105" w:rsidRDefault="00492930" w:rsidP="00492930">
      <w:pPr>
        <w:rPr>
          <w:b/>
          <w:u w:val="single"/>
        </w:rPr>
      </w:pPr>
      <w:r>
        <w:rPr>
          <w:b/>
          <w:u w:val="single"/>
        </w:rPr>
        <w:t>Section 2: Housing Performance</w:t>
      </w:r>
      <w:r w:rsidR="00E16105">
        <w:rPr>
          <w:b/>
          <w:u w:val="single"/>
        </w:rPr>
        <w:t xml:space="preserve"> </w:t>
      </w:r>
    </w:p>
    <w:p w:rsidR="00E16105" w:rsidRDefault="00262744" w:rsidP="00E16105">
      <w:pPr>
        <w:rPr>
          <w:b/>
          <w:u w:val="single"/>
        </w:rPr>
      </w:pPr>
      <w:r>
        <w:t>Housing</w:t>
      </w:r>
      <w:r w:rsidR="0090549B">
        <w:t xml:space="preserve">- Permanent </w:t>
      </w:r>
      <w:r w:rsidR="00012335">
        <w:t>and Transitional H</w:t>
      </w:r>
      <w:r w:rsidR="006D7AC1">
        <w:t>ousing goal</w:t>
      </w:r>
      <w:r>
        <w:t>:</w:t>
      </w:r>
      <w:r w:rsidR="002E6E50">
        <w:t xml:space="preserve"> (MAX </w:t>
      </w:r>
      <w:r w:rsidR="00B91F25">
        <w:t>5</w:t>
      </w:r>
      <w:r w:rsidR="002E6E50">
        <w:t xml:space="preserve"> Points</w:t>
      </w:r>
      <w:r w:rsidR="00B91F25">
        <w:t xml:space="preserve"> plus 1 bonus</w:t>
      </w:r>
      <w:r w:rsidR="00C45BF2">
        <w:t>)</w:t>
      </w:r>
      <w:r w:rsidR="00492930">
        <w:t xml:space="preserve"> Projects will answer one of these two questions depending upon whether they are a Permanent Housing or a Transitional Housing program. Projects can receive a bonus point if they are high performing. </w:t>
      </w:r>
      <w:proofErr w:type="gramStart"/>
      <w:r w:rsidR="000D25CF">
        <w:t>(APR Question 36.)</w:t>
      </w:r>
      <w:proofErr w:type="gramEnd"/>
    </w:p>
    <w:p w:rsidR="00262744" w:rsidRPr="00E16105" w:rsidRDefault="00262744" w:rsidP="00E16105">
      <w:pPr>
        <w:pStyle w:val="ListParagraph"/>
        <w:numPr>
          <w:ilvl w:val="0"/>
          <w:numId w:val="9"/>
        </w:numPr>
        <w:rPr>
          <w:b/>
          <w:u w:val="single"/>
        </w:rPr>
      </w:pPr>
      <w:r>
        <w:t>Consumers remaining in P</w:t>
      </w:r>
      <w:r w:rsidR="00492930">
        <w:t xml:space="preserve">ermanent Supportive </w:t>
      </w:r>
      <w:r>
        <w:t>H</w:t>
      </w:r>
      <w:r w:rsidR="00492930">
        <w:t>ousing</w:t>
      </w:r>
      <w:r>
        <w:t xml:space="preserve"> program or </w:t>
      </w:r>
      <w:r w:rsidR="00492930">
        <w:t xml:space="preserve">exiting to </w:t>
      </w:r>
      <w:r w:rsidR="002E6E50">
        <w:t>P</w:t>
      </w:r>
      <w:r w:rsidR="00492930">
        <w:t xml:space="preserve">ermanent </w:t>
      </w:r>
      <w:r w:rsidR="002E6E50">
        <w:t>H</w:t>
      </w:r>
      <w:r w:rsidR="00492930">
        <w:t>ousing</w:t>
      </w:r>
      <w:r w:rsidR="00C54258">
        <w:t xml:space="preserve"> </w:t>
      </w:r>
      <w:r w:rsidR="00C54258" w:rsidRPr="00380262">
        <w:t xml:space="preserve">must meet </w:t>
      </w:r>
      <w:r w:rsidR="00380262" w:rsidRPr="00380262">
        <w:t>at least</w:t>
      </w:r>
      <w:r w:rsidR="00C54258" w:rsidRPr="00380262">
        <w:t xml:space="preserve"> 85% performance measure in order to receive the full 5 points</w:t>
      </w:r>
      <w:r w:rsidR="00492930">
        <w:t xml:space="preserve">. Projects with 90% or more performance can receive a bonus point or 6 points. 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012335" w:rsidTr="00012335">
        <w:tc>
          <w:tcPr>
            <w:tcW w:w="3420" w:type="dxa"/>
          </w:tcPr>
          <w:p w:rsidR="00012335" w:rsidRDefault="00012335" w:rsidP="00012335">
            <w:pPr>
              <w:jc w:val="center"/>
            </w:pPr>
            <w:r>
              <w:t>Percentage</w:t>
            </w:r>
          </w:p>
        </w:tc>
        <w:tc>
          <w:tcPr>
            <w:tcW w:w="1440" w:type="dxa"/>
          </w:tcPr>
          <w:p w:rsidR="00012335" w:rsidRDefault="00012335" w:rsidP="00012335">
            <w:pPr>
              <w:jc w:val="center"/>
            </w:pPr>
            <w:r>
              <w:t>Points</w:t>
            </w:r>
          </w:p>
        </w:tc>
      </w:tr>
      <w:tr w:rsidR="00012335" w:rsidTr="00012335">
        <w:tc>
          <w:tcPr>
            <w:tcW w:w="3420" w:type="dxa"/>
          </w:tcPr>
          <w:p w:rsidR="00012335" w:rsidRDefault="00012335" w:rsidP="00012335">
            <w:r>
              <w:t>90% and above</w:t>
            </w:r>
          </w:p>
        </w:tc>
        <w:tc>
          <w:tcPr>
            <w:tcW w:w="1440" w:type="dxa"/>
          </w:tcPr>
          <w:p w:rsidR="00012335" w:rsidRDefault="00012335" w:rsidP="00012335">
            <w:pPr>
              <w:jc w:val="center"/>
            </w:pPr>
            <w:r w:rsidRPr="00EE56C3">
              <w:t>5</w:t>
            </w:r>
            <w:r>
              <w:t xml:space="preserve"> + 1 Bonus</w:t>
            </w:r>
          </w:p>
        </w:tc>
      </w:tr>
      <w:tr w:rsidR="00012335" w:rsidTr="00012335">
        <w:tc>
          <w:tcPr>
            <w:tcW w:w="3420" w:type="dxa"/>
          </w:tcPr>
          <w:p w:rsidR="00012335" w:rsidRDefault="00012335" w:rsidP="00012335">
            <w:r>
              <w:t>85% - 89%</w:t>
            </w:r>
          </w:p>
        </w:tc>
        <w:tc>
          <w:tcPr>
            <w:tcW w:w="1440" w:type="dxa"/>
          </w:tcPr>
          <w:p w:rsidR="00012335" w:rsidRDefault="00012335" w:rsidP="00012335">
            <w:pPr>
              <w:jc w:val="center"/>
            </w:pPr>
            <w:r>
              <w:t>5</w:t>
            </w:r>
          </w:p>
        </w:tc>
      </w:tr>
      <w:tr w:rsidR="00012335" w:rsidTr="00012335">
        <w:tc>
          <w:tcPr>
            <w:tcW w:w="3420" w:type="dxa"/>
          </w:tcPr>
          <w:p w:rsidR="00012335" w:rsidRDefault="00012335" w:rsidP="00012335">
            <w:r>
              <w:t>80% – 84%</w:t>
            </w:r>
          </w:p>
        </w:tc>
        <w:tc>
          <w:tcPr>
            <w:tcW w:w="1440" w:type="dxa"/>
          </w:tcPr>
          <w:p w:rsidR="00012335" w:rsidRDefault="00012335" w:rsidP="00012335">
            <w:pPr>
              <w:jc w:val="center"/>
            </w:pPr>
            <w:r>
              <w:t>4</w:t>
            </w:r>
          </w:p>
        </w:tc>
      </w:tr>
      <w:tr w:rsidR="00012335" w:rsidTr="00012335">
        <w:tc>
          <w:tcPr>
            <w:tcW w:w="3420" w:type="dxa"/>
          </w:tcPr>
          <w:p w:rsidR="00012335" w:rsidRDefault="00012335" w:rsidP="00012335">
            <w:r>
              <w:t>70% - 79%</w:t>
            </w:r>
          </w:p>
        </w:tc>
        <w:tc>
          <w:tcPr>
            <w:tcW w:w="1440" w:type="dxa"/>
          </w:tcPr>
          <w:p w:rsidR="00012335" w:rsidRDefault="00012335" w:rsidP="00012335">
            <w:pPr>
              <w:jc w:val="center"/>
            </w:pPr>
            <w:r>
              <w:t>3</w:t>
            </w:r>
          </w:p>
        </w:tc>
      </w:tr>
      <w:tr w:rsidR="00012335" w:rsidTr="00012335">
        <w:tc>
          <w:tcPr>
            <w:tcW w:w="3420" w:type="dxa"/>
          </w:tcPr>
          <w:p w:rsidR="00012335" w:rsidRDefault="00012335" w:rsidP="00012335">
            <w:r>
              <w:t>50% - 69%</w:t>
            </w:r>
          </w:p>
        </w:tc>
        <w:tc>
          <w:tcPr>
            <w:tcW w:w="1440" w:type="dxa"/>
          </w:tcPr>
          <w:p w:rsidR="00012335" w:rsidRDefault="00012335" w:rsidP="00012335">
            <w:pPr>
              <w:jc w:val="center"/>
            </w:pPr>
            <w:r>
              <w:t>2</w:t>
            </w:r>
          </w:p>
        </w:tc>
      </w:tr>
      <w:tr w:rsidR="00012335" w:rsidTr="00012335">
        <w:tc>
          <w:tcPr>
            <w:tcW w:w="3420" w:type="dxa"/>
          </w:tcPr>
          <w:p w:rsidR="00012335" w:rsidRDefault="00012335" w:rsidP="00012335">
            <w:r>
              <w:t>25% - 49%</w:t>
            </w:r>
          </w:p>
        </w:tc>
        <w:tc>
          <w:tcPr>
            <w:tcW w:w="1440" w:type="dxa"/>
          </w:tcPr>
          <w:p w:rsidR="00012335" w:rsidRDefault="00012335" w:rsidP="00012335">
            <w:pPr>
              <w:jc w:val="center"/>
            </w:pPr>
            <w:r>
              <w:t>1</w:t>
            </w:r>
          </w:p>
        </w:tc>
      </w:tr>
      <w:tr w:rsidR="00012335" w:rsidTr="00012335">
        <w:tc>
          <w:tcPr>
            <w:tcW w:w="3420" w:type="dxa"/>
          </w:tcPr>
          <w:p w:rsidR="00012335" w:rsidRDefault="00012335" w:rsidP="00012335">
            <w:r>
              <w:t>24% and below</w:t>
            </w:r>
          </w:p>
        </w:tc>
        <w:tc>
          <w:tcPr>
            <w:tcW w:w="1440" w:type="dxa"/>
          </w:tcPr>
          <w:p w:rsidR="00012335" w:rsidRDefault="00012335" w:rsidP="00012335">
            <w:pPr>
              <w:jc w:val="center"/>
            </w:pPr>
            <w:r>
              <w:t>0</w:t>
            </w:r>
          </w:p>
        </w:tc>
      </w:tr>
    </w:tbl>
    <w:p w:rsidR="00012335" w:rsidRDefault="00012335" w:rsidP="00012335">
      <w:pPr>
        <w:pStyle w:val="ListParagraph"/>
        <w:ind w:left="2925"/>
      </w:pPr>
    </w:p>
    <w:p w:rsidR="005C0CE3" w:rsidRDefault="00FF2775" w:rsidP="00E16105">
      <w:pPr>
        <w:pStyle w:val="ListParagraph"/>
        <w:numPr>
          <w:ilvl w:val="0"/>
          <w:numId w:val="8"/>
        </w:numPr>
      </w:pPr>
      <w:r>
        <w:t>Consumers in T</w:t>
      </w:r>
      <w:r w:rsidR="00492930">
        <w:t xml:space="preserve">ransitional Housing </w:t>
      </w:r>
      <w:r>
        <w:t>exiting</w:t>
      </w:r>
      <w:r w:rsidR="002E6E50">
        <w:t xml:space="preserve"> to P</w:t>
      </w:r>
      <w:r w:rsidR="00492930">
        <w:t xml:space="preserve">ermanent </w:t>
      </w:r>
      <w:r w:rsidR="002E6E50">
        <w:t>H</w:t>
      </w:r>
      <w:r w:rsidR="00492930">
        <w:t xml:space="preserve">ousing must meet </w:t>
      </w:r>
      <w:r w:rsidR="00380262">
        <w:t>at least</w:t>
      </w:r>
      <w:r w:rsidR="00492930">
        <w:t xml:space="preserve"> </w:t>
      </w:r>
      <w:r w:rsidR="00492930" w:rsidRPr="00380262">
        <w:t xml:space="preserve">85% </w:t>
      </w:r>
      <w:r w:rsidR="00492930">
        <w:t xml:space="preserve">performance measure in order to receive the full 5 points. Projects with </w:t>
      </w:r>
      <w:r w:rsidR="00492930" w:rsidRPr="00380262">
        <w:t>90%</w:t>
      </w:r>
      <w:r w:rsidR="00492930">
        <w:t xml:space="preserve"> or more performance can receive a bonus point or 6 points. </w:t>
      </w:r>
      <w:r w:rsidR="002E6E50">
        <w:t xml:space="preserve"> </w:t>
      </w:r>
      <w:r w:rsidR="000D25CF">
        <w:t>(APR Question 36)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6D7AC1" w:rsidTr="00A508CD">
        <w:tc>
          <w:tcPr>
            <w:tcW w:w="3420" w:type="dxa"/>
          </w:tcPr>
          <w:p w:rsidR="006D7AC1" w:rsidRDefault="00A508CD" w:rsidP="00651004">
            <w:pPr>
              <w:jc w:val="center"/>
            </w:pPr>
            <w:r>
              <w:t>Percentage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Points</w:t>
            </w:r>
          </w:p>
        </w:tc>
      </w:tr>
      <w:tr w:rsidR="00D139E5" w:rsidTr="00A508CD">
        <w:tc>
          <w:tcPr>
            <w:tcW w:w="3420" w:type="dxa"/>
          </w:tcPr>
          <w:p w:rsidR="00D139E5" w:rsidRDefault="00D139E5" w:rsidP="00651004">
            <w:r w:rsidRPr="00380262">
              <w:t>90</w:t>
            </w:r>
            <w:r>
              <w:t>% and above</w:t>
            </w:r>
          </w:p>
        </w:tc>
        <w:tc>
          <w:tcPr>
            <w:tcW w:w="1440" w:type="dxa"/>
          </w:tcPr>
          <w:p w:rsidR="00D139E5" w:rsidRDefault="00D139E5" w:rsidP="00651004">
            <w:pPr>
              <w:jc w:val="center"/>
            </w:pPr>
            <w:r w:rsidRPr="00EE56C3">
              <w:t>5</w:t>
            </w:r>
            <w:r>
              <w:t xml:space="preserve"> + 1 Bonus</w:t>
            </w:r>
          </w:p>
        </w:tc>
      </w:tr>
      <w:tr w:rsidR="006D7AC1" w:rsidTr="00A508CD">
        <w:tc>
          <w:tcPr>
            <w:tcW w:w="3420" w:type="dxa"/>
          </w:tcPr>
          <w:p w:rsidR="006D7AC1" w:rsidRDefault="00D139E5" w:rsidP="00651004">
            <w:r>
              <w:t xml:space="preserve">85% - </w:t>
            </w:r>
            <w:r w:rsidRPr="00380262">
              <w:t>89</w:t>
            </w:r>
            <w:r>
              <w:t>%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5</w:t>
            </w:r>
          </w:p>
        </w:tc>
      </w:tr>
      <w:tr w:rsidR="006D7AC1" w:rsidTr="00A508CD">
        <w:tc>
          <w:tcPr>
            <w:tcW w:w="3420" w:type="dxa"/>
          </w:tcPr>
          <w:p w:rsidR="006D7AC1" w:rsidRDefault="00691061" w:rsidP="00651004">
            <w:r>
              <w:t>80</w:t>
            </w:r>
            <w:r w:rsidR="006D7AC1">
              <w:t>% – 84%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4</w:t>
            </w:r>
          </w:p>
        </w:tc>
      </w:tr>
      <w:tr w:rsidR="006D7AC1" w:rsidTr="00A508CD">
        <w:tc>
          <w:tcPr>
            <w:tcW w:w="3420" w:type="dxa"/>
          </w:tcPr>
          <w:p w:rsidR="006D7AC1" w:rsidRDefault="00691061" w:rsidP="00691061">
            <w:r>
              <w:t>7</w:t>
            </w:r>
            <w:r w:rsidR="006D7AC1">
              <w:t>0% - 7</w:t>
            </w:r>
            <w:r>
              <w:t>9</w:t>
            </w:r>
            <w:r w:rsidR="006D7AC1">
              <w:t>%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3</w:t>
            </w:r>
          </w:p>
        </w:tc>
      </w:tr>
      <w:tr w:rsidR="006D7AC1" w:rsidTr="00A508CD">
        <w:tc>
          <w:tcPr>
            <w:tcW w:w="3420" w:type="dxa"/>
          </w:tcPr>
          <w:p w:rsidR="006D7AC1" w:rsidRDefault="006D7AC1" w:rsidP="00691061">
            <w:r>
              <w:t xml:space="preserve">50% - </w:t>
            </w:r>
            <w:r w:rsidR="00691061">
              <w:t>6</w:t>
            </w:r>
            <w:r>
              <w:t>9%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2</w:t>
            </w:r>
          </w:p>
        </w:tc>
      </w:tr>
      <w:tr w:rsidR="006D7AC1" w:rsidTr="00A508CD">
        <w:tc>
          <w:tcPr>
            <w:tcW w:w="3420" w:type="dxa"/>
          </w:tcPr>
          <w:p w:rsidR="006D7AC1" w:rsidRDefault="006D7AC1" w:rsidP="00651004">
            <w:r>
              <w:t>25% - 49%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1</w:t>
            </w:r>
          </w:p>
        </w:tc>
      </w:tr>
      <w:tr w:rsidR="006D7AC1" w:rsidTr="00A508CD">
        <w:tc>
          <w:tcPr>
            <w:tcW w:w="3420" w:type="dxa"/>
          </w:tcPr>
          <w:p w:rsidR="006D7AC1" w:rsidRDefault="006D7AC1" w:rsidP="00651004">
            <w:r>
              <w:t>24% and below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0</w:t>
            </w:r>
          </w:p>
        </w:tc>
      </w:tr>
    </w:tbl>
    <w:p w:rsidR="00492930" w:rsidRDefault="00691061" w:rsidP="00492930">
      <w:pPr>
        <w:rPr>
          <w:b/>
          <w:u w:val="single"/>
        </w:rPr>
      </w:pPr>
      <w:r w:rsidRPr="008C0161">
        <w:rPr>
          <w:b/>
          <w:u w:val="single"/>
        </w:rPr>
        <w:t xml:space="preserve"> </w:t>
      </w:r>
    </w:p>
    <w:p w:rsidR="00492930" w:rsidRPr="00492930" w:rsidRDefault="00492930" w:rsidP="00492930">
      <w:pPr>
        <w:rPr>
          <w:b/>
          <w:u w:val="single"/>
        </w:rPr>
      </w:pPr>
      <w:r>
        <w:rPr>
          <w:b/>
          <w:u w:val="single"/>
        </w:rPr>
        <w:lastRenderedPageBreak/>
        <w:t>Section 3: Income, Employment and Non Cash Benefits</w:t>
      </w:r>
    </w:p>
    <w:p w:rsidR="002E6E50" w:rsidRDefault="00262744" w:rsidP="00492930">
      <w:pPr>
        <w:spacing w:after="0"/>
      </w:pPr>
      <w:r>
        <w:t>Income</w:t>
      </w:r>
      <w:r w:rsidR="002E6E50">
        <w:t xml:space="preserve"> (MAX 5 Points</w:t>
      </w:r>
      <w:r w:rsidR="0016383E">
        <w:t xml:space="preserve"> + 1 Bonus</w:t>
      </w:r>
      <w:r w:rsidR="002E6E50">
        <w:t>)</w:t>
      </w:r>
      <w:r w:rsidR="00994224">
        <w:t xml:space="preserve"> </w:t>
      </w:r>
      <w:r w:rsidR="00C21690">
        <w:t>Consumer</w:t>
      </w:r>
      <w:r w:rsidR="008A6FF0">
        <w:t>’</w:t>
      </w:r>
      <w:r w:rsidR="00C21690">
        <w:t xml:space="preserve">s </w:t>
      </w:r>
      <w:r w:rsidR="00C45BF2">
        <w:t xml:space="preserve">income </w:t>
      </w:r>
      <w:r w:rsidR="002E6E50">
        <w:t>remain</w:t>
      </w:r>
      <w:r w:rsidR="00C45BF2">
        <w:t>s</w:t>
      </w:r>
      <w:r w:rsidR="002E6E50">
        <w:t xml:space="preserve"> the same or increase</w:t>
      </w:r>
      <w:r w:rsidR="00C45BF2">
        <w:t>s</w:t>
      </w:r>
      <w:r w:rsidR="002E6E50">
        <w:t xml:space="preserve"> either by employment or other cash benefits</w:t>
      </w:r>
      <w:r w:rsidR="00492930">
        <w:t xml:space="preserve">. Projects with 80% or more performance can receive a bonus point or 6 points.  </w:t>
      </w:r>
      <w:r w:rsidR="009D7A0E">
        <w:t>This information for Transitional Housing project is reported in Question 24 b3. For Permanent Housing this information is reported in Question 36.</w:t>
      </w:r>
    </w:p>
    <w:p w:rsidR="009D7A0E" w:rsidRDefault="009D7A0E" w:rsidP="00492930">
      <w:pPr>
        <w:spacing w:after="0"/>
      </w:pP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6D7AC1" w:rsidTr="00A508CD">
        <w:tc>
          <w:tcPr>
            <w:tcW w:w="3420" w:type="dxa"/>
          </w:tcPr>
          <w:p w:rsidR="006D7AC1" w:rsidRDefault="00A508CD" w:rsidP="00651004">
            <w:pPr>
              <w:jc w:val="center"/>
            </w:pPr>
            <w:r>
              <w:t>Percentage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Points</w:t>
            </w:r>
          </w:p>
        </w:tc>
      </w:tr>
      <w:tr w:rsidR="00827544" w:rsidTr="00A508CD">
        <w:tc>
          <w:tcPr>
            <w:tcW w:w="3420" w:type="dxa"/>
          </w:tcPr>
          <w:p w:rsidR="00827544" w:rsidRDefault="008450B3" w:rsidP="00651004">
            <w:r>
              <w:t>80</w:t>
            </w:r>
            <w:r w:rsidR="00827544">
              <w:t>% and above</w:t>
            </w:r>
          </w:p>
        </w:tc>
        <w:tc>
          <w:tcPr>
            <w:tcW w:w="1440" w:type="dxa"/>
          </w:tcPr>
          <w:p w:rsidR="00827544" w:rsidRDefault="00827544" w:rsidP="00651004">
            <w:pPr>
              <w:jc w:val="center"/>
            </w:pPr>
            <w:r w:rsidRPr="00EE56C3">
              <w:t>5</w:t>
            </w:r>
            <w:r>
              <w:t xml:space="preserve"> + 1 bonu</w:t>
            </w:r>
            <w:r w:rsidR="0090549B">
              <w:t>s</w:t>
            </w:r>
          </w:p>
        </w:tc>
      </w:tr>
      <w:tr w:rsidR="006D7AC1" w:rsidTr="00A508CD">
        <w:tc>
          <w:tcPr>
            <w:tcW w:w="3420" w:type="dxa"/>
          </w:tcPr>
          <w:p w:rsidR="006D7AC1" w:rsidRDefault="008450B3" w:rsidP="008450B3">
            <w:r>
              <w:t>75% – 79</w:t>
            </w:r>
            <w:r w:rsidR="006D7AC1">
              <w:t>%</w:t>
            </w:r>
          </w:p>
        </w:tc>
        <w:tc>
          <w:tcPr>
            <w:tcW w:w="1440" w:type="dxa"/>
          </w:tcPr>
          <w:p w:rsidR="006D7AC1" w:rsidRDefault="0016383E" w:rsidP="00651004">
            <w:pPr>
              <w:jc w:val="center"/>
            </w:pPr>
            <w:r>
              <w:t>5</w:t>
            </w:r>
          </w:p>
        </w:tc>
      </w:tr>
      <w:tr w:rsidR="006D7AC1" w:rsidTr="00A508CD">
        <w:tc>
          <w:tcPr>
            <w:tcW w:w="3420" w:type="dxa"/>
          </w:tcPr>
          <w:p w:rsidR="006D7AC1" w:rsidRDefault="006D7AC1" w:rsidP="00651004">
            <w:r>
              <w:t>60% - 74%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3</w:t>
            </w:r>
          </w:p>
        </w:tc>
      </w:tr>
      <w:tr w:rsidR="006D7AC1" w:rsidTr="00A508CD">
        <w:tc>
          <w:tcPr>
            <w:tcW w:w="3420" w:type="dxa"/>
          </w:tcPr>
          <w:p w:rsidR="006D7AC1" w:rsidRDefault="006D7AC1" w:rsidP="00651004">
            <w:r>
              <w:t>50% - 59%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2</w:t>
            </w:r>
          </w:p>
        </w:tc>
      </w:tr>
      <w:tr w:rsidR="006D7AC1" w:rsidTr="00A508CD">
        <w:tc>
          <w:tcPr>
            <w:tcW w:w="3420" w:type="dxa"/>
          </w:tcPr>
          <w:p w:rsidR="006D7AC1" w:rsidRDefault="006D7AC1" w:rsidP="00651004">
            <w:r>
              <w:t>25% - 49%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1</w:t>
            </w:r>
          </w:p>
        </w:tc>
      </w:tr>
      <w:tr w:rsidR="006D7AC1" w:rsidTr="00A508CD">
        <w:tc>
          <w:tcPr>
            <w:tcW w:w="3420" w:type="dxa"/>
          </w:tcPr>
          <w:p w:rsidR="006D7AC1" w:rsidRDefault="006D7AC1" w:rsidP="00651004">
            <w:r>
              <w:t>24% and below</w:t>
            </w:r>
          </w:p>
        </w:tc>
        <w:tc>
          <w:tcPr>
            <w:tcW w:w="1440" w:type="dxa"/>
          </w:tcPr>
          <w:p w:rsidR="006D7AC1" w:rsidRDefault="006D7AC1" w:rsidP="00651004">
            <w:pPr>
              <w:jc w:val="center"/>
            </w:pPr>
            <w:r>
              <w:t>0</w:t>
            </w:r>
          </w:p>
        </w:tc>
      </w:tr>
    </w:tbl>
    <w:p w:rsidR="000D25CF" w:rsidRDefault="000D25CF" w:rsidP="00492930"/>
    <w:p w:rsidR="000D7EB3" w:rsidRDefault="000D7EB3" w:rsidP="00492930">
      <w:proofErr w:type="gramStart"/>
      <w:r>
        <w:t>Employment (MAX 5 Points</w:t>
      </w:r>
      <w:r w:rsidR="0016383E">
        <w:t xml:space="preserve"> plus 1 B</w:t>
      </w:r>
      <w:r w:rsidR="00C21690">
        <w:t>onus</w:t>
      </w:r>
      <w:r>
        <w:t>)</w:t>
      </w:r>
      <w:r w:rsidR="00492930">
        <w:t>.</w:t>
      </w:r>
      <w:proofErr w:type="gramEnd"/>
      <w:r w:rsidR="00492930" w:rsidRPr="00492930">
        <w:t xml:space="preserve"> </w:t>
      </w:r>
      <w:r w:rsidR="00492930">
        <w:t xml:space="preserve">Projects with 40% or more performance can receive a bonus point or 6 points.  </w:t>
      </w:r>
      <w:r w:rsidR="009D7A0E">
        <w:t>This information is reported in question 36 or question 24 depending upon project type.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BF308E" w:rsidTr="00A508CD">
        <w:tc>
          <w:tcPr>
            <w:tcW w:w="3420" w:type="dxa"/>
          </w:tcPr>
          <w:p w:rsidR="00BF308E" w:rsidRDefault="00A508CD" w:rsidP="00A508CD">
            <w:pPr>
              <w:pStyle w:val="ListParagraph"/>
              <w:ind w:left="0"/>
              <w:jc w:val="center"/>
            </w:pPr>
            <w:r>
              <w:t>Percentage</w:t>
            </w:r>
          </w:p>
        </w:tc>
        <w:tc>
          <w:tcPr>
            <w:tcW w:w="1440" w:type="dxa"/>
          </w:tcPr>
          <w:p w:rsidR="00BF308E" w:rsidRDefault="00BF308E" w:rsidP="00A508CD">
            <w:pPr>
              <w:pStyle w:val="ListParagraph"/>
              <w:ind w:left="0"/>
              <w:jc w:val="center"/>
            </w:pPr>
            <w:r>
              <w:t>Points</w:t>
            </w:r>
          </w:p>
        </w:tc>
      </w:tr>
      <w:tr w:rsidR="00C21690" w:rsidTr="00A508CD">
        <w:tc>
          <w:tcPr>
            <w:tcW w:w="3420" w:type="dxa"/>
          </w:tcPr>
          <w:p w:rsidR="00C21690" w:rsidRDefault="00445DDE" w:rsidP="00BF308E">
            <w:pPr>
              <w:pStyle w:val="ListParagraph"/>
              <w:ind w:left="0"/>
            </w:pPr>
            <w:r>
              <w:t>4</w:t>
            </w:r>
            <w:r w:rsidR="00C21690">
              <w:t>0% or more employed</w:t>
            </w:r>
          </w:p>
        </w:tc>
        <w:tc>
          <w:tcPr>
            <w:tcW w:w="1440" w:type="dxa"/>
          </w:tcPr>
          <w:p w:rsidR="00C21690" w:rsidRDefault="00C21690" w:rsidP="00A508CD">
            <w:pPr>
              <w:pStyle w:val="ListParagraph"/>
              <w:ind w:left="0"/>
              <w:jc w:val="center"/>
            </w:pPr>
            <w:r w:rsidRPr="00EE56C3">
              <w:t>5</w:t>
            </w:r>
            <w:r>
              <w:t>+1 bonus</w:t>
            </w:r>
          </w:p>
        </w:tc>
      </w:tr>
      <w:tr w:rsidR="00BF308E" w:rsidTr="00A508CD">
        <w:tc>
          <w:tcPr>
            <w:tcW w:w="3420" w:type="dxa"/>
          </w:tcPr>
          <w:p w:rsidR="00BF308E" w:rsidRDefault="00C21690" w:rsidP="00445DDE">
            <w:pPr>
              <w:pStyle w:val="ListParagraph"/>
              <w:ind w:left="0"/>
            </w:pPr>
            <w:r>
              <w:t>20% -</w:t>
            </w:r>
            <w:r w:rsidR="00445DDE">
              <w:t>3</w:t>
            </w:r>
            <w:r>
              <w:t>9% employed</w:t>
            </w:r>
          </w:p>
        </w:tc>
        <w:tc>
          <w:tcPr>
            <w:tcW w:w="1440" w:type="dxa"/>
          </w:tcPr>
          <w:p w:rsidR="00BF308E" w:rsidRDefault="00A508CD" w:rsidP="00A508CD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BF308E" w:rsidTr="00A508CD">
        <w:tc>
          <w:tcPr>
            <w:tcW w:w="3420" w:type="dxa"/>
          </w:tcPr>
          <w:p w:rsidR="00BF308E" w:rsidRDefault="00A508CD" w:rsidP="00BF308E">
            <w:pPr>
              <w:pStyle w:val="ListParagraph"/>
              <w:ind w:left="0"/>
            </w:pPr>
            <w:r>
              <w:t>11%-19% employed</w:t>
            </w:r>
          </w:p>
        </w:tc>
        <w:tc>
          <w:tcPr>
            <w:tcW w:w="1440" w:type="dxa"/>
          </w:tcPr>
          <w:p w:rsidR="00BF308E" w:rsidRDefault="00A508CD" w:rsidP="00A508CD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BF308E" w:rsidTr="00A508CD">
        <w:tc>
          <w:tcPr>
            <w:tcW w:w="3420" w:type="dxa"/>
          </w:tcPr>
          <w:p w:rsidR="00BF308E" w:rsidRDefault="00A508CD" w:rsidP="00BF308E">
            <w:pPr>
              <w:pStyle w:val="ListParagraph"/>
              <w:ind w:left="0"/>
            </w:pPr>
            <w:r>
              <w:t>6% - 10% employed</w:t>
            </w:r>
          </w:p>
        </w:tc>
        <w:tc>
          <w:tcPr>
            <w:tcW w:w="1440" w:type="dxa"/>
          </w:tcPr>
          <w:p w:rsidR="00BF308E" w:rsidRDefault="00A508CD" w:rsidP="00A508CD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BF308E" w:rsidTr="00A508CD">
        <w:tc>
          <w:tcPr>
            <w:tcW w:w="3420" w:type="dxa"/>
          </w:tcPr>
          <w:p w:rsidR="00BF308E" w:rsidRDefault="00A508CD" w:rsidP="00BF308E">
            <w:pPr>
              <w:pStyle w:val="ListParagraph"/>
              <w:ind w:left="0"/>
            </w:pPr>
            <w:r>
              <w:t>1%-5% employed</w:t>
            </w:r>
          </w:p>
        </w:tc>
        <w:tc>
          <w:tcPr>
            <w:tcW w:w="1440" w:type="dxa"/>
          </w:tcPr>
          <w:p w:rsidR="00BF308E" w:rsidRDefault="002301F6" w:rsidP="00A508CD">
            <w:pPr>
              <w:pStyle w:val="ListParagraph"/>
              <w:ind w:left="0"/>
              <w:jc w:val="center"/>
            </w:pPr>
            <w:r>
              <w:t>1-2</w:t>
            </w:r>
          </w:p>
        </w:tc>
      </w:tr>
      <w:tr w:rsidR="00BF308E" w:rsidTr="00A508CD">
        <w:tc>
          <w:tcPr>
            <w:tcW w:w="3420" w:type="dxa"/>
          </w:tcPr>
          <w:p w:rsidR="00BF308E" w:rsidRDefault="00A508CD" w:rsidP="00BF308E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440" w:type="dxa"/>
          </w:tcPr>
          <w:p w:rsidR="00BF308E" w:rsidRDefault="00A508CD" w:rsidP="00A508CD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:rsidR="00E03717" w:rsidRDefault="00E03717" w:rsidP="00492930"/>
    <w:p w:rsidR="000D25CF" w:rsidRDefault="000D25CF" w:rsidP="00492930"/>
    <w:p w:rsidR="000D7EB3" w:rsidRDefault="00262744" w:rsidP="00492930">
      <w:r>
        <w:t>Non Cash Benefits</w:t>
      </w:r>
      <w:r w:rsidR="002E6E50">
        <w:t xml:space="preserve"> (MAX 5 Points)</w:t>
      </w:r>
      <w:r w:rsidR="00994224">
        <w:t xml:space="preserve"> </w:t>
      </w:r>
      <w:r w:rsidR="002E6E50">
        <w:t xml:space="preserve">Consumer </w:t>
      </w:r>
      <w:r w:rsidR="00827544">
        <w:t>ha</w:t>
      </w:r>
      <w:r w:rsidR="00E128AD">
        <w:t>s</w:t>
      </w:r>
      <w:r w:rsidR="00827544">
        <w:t xml:space="preserve"> at</w:t>
      </w:r>
      <w:r w:rsidR="002E6E50">
        <w:t xml:space="preserve"> least one or more non</w:t>
      </w:r>
      <w:r w:rsidR="00C45BF2">
        <w:t>-</w:t>
      </w:r>
      <w:r w:rsidR="002E6E50">
        <w:t>cash benefit</w:t>
      </w:r>
      <w:r w:rsidR="00C45BF2">
        <w:t>s</w:t>
      </w:r>
      <w:r w:rsidR="000D7EB3">
        <w:t>.</w:t>
      </w:r>
      <w:r w:rsidR="00E128AD" w:rsidRPr="00E128AD">
        <w:t xml:space="preserve"> </w:t>
      </w:r>
      <w:r w:rsidR="00E128AD">
        <w:t xml:space="preserve">Projects with 85% or more performance can receive a bonus point or 6 points.  </w:t>
      </w:r>
      <w:r w:rsidR="000D25CF">
        <w:t>(APR Question 37)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A508CD" w:rsidTr="00A508CD">
        <w:tc>
          <w:tcPr>
            <w:tcW w:w="3420" w:type="dxa"/>
          </w:tcPr>
          <w:p w:rsidR="00A508CD" w:rsidRDefault="00A508CD" w:rsidP="00651004">
            <w:pPr>
              <w:pStyle w:val="ListParagraph"/>
              <w:ind w:left="0"/>
              <w:jc w:val="center"/>
            </w:pPr>
            <w:r>
              <w:t>Percentage</w:t>
            </w:r>
          </w:p>
        </w:tc>
        <w:tc>
          <w:tcPr>
            <w:tcW w:w="1440" w:type="dxa"/>
          </w:tcPr>
          <w:p w:rsidR="00A508CD" w:rsidRDefault="00A508CD" w:rsidP="00651004">
            <w:pPr>
              <w:pStyle w:val="ListParagraph"/>
              <w:ind w:left="0"/>
              <w:jc w:val="center"/>
            </w:pPr>
            <w:r>
              <w:t>Points</w:t>
            </w:r>
          </w:p>
        </w:tc>
      </w:tr>
      <w:tr w:rsidR="00C21690" w:rsidTr="00A508CD">
        <w:tc>
          <w:tcPr>
            <w:tcW w:w="3420" w:type="dxa"/>
          </w:tcPr>
          <w:p w:rsidR="00C21690" w:rsidRDefault="00C21690" w:rsidP="00C21690">
            <w:pPr>
              <w:pStyle w:val="ListParagraph"/>
              <w:ind w:left="0"/>
            </w:pPr>
            <w:r>
              <w:t>85% or more have non-cash benefits</w:t>
            </w:r>
          </w:p>
        </w:tc>
        <w:tc>
          <w:tcPr>
            <w:tcW w:w="1440" w:type="dxa"/>
          </w:tcPr>
          <w:p w:rsidR="00783D79" w:rsidRDefault="00783D79" w:rsidP="00651004">
            <w:pPr>
              <w:pStyle w:val="ListParagraph"/>
              <w:ind w:left="0"/>
              <w:jc w:val="center"/>
            </w:pPr>
          </w:p>
          <w:p w:rsidR="00C21690" w:rsidRDefault="00C21690" w:rsidP="00651004">
            <w:pPr>
              <w:pStyle w:val="ListParagraph"/>
              <w:ind w:left="0"/>
              <w:jc w:val="center"/>
            </w:pPr>
            <w:r w:rsidRPr="00EE56C3">
              <w:t>5</w:t>
            </w:r>
            <w:r>
              <w:t xml:space="preserve">+1 Bonus </w:t>
            </w:r>
          </w:p>
        </w:tc>
      </w:tr>
      <w:tr w:rsidR="00A508CD" w:rsidTr="00A508CD">
        <w:tc>
          <w:tcPr>
            <w:tcW w:w="3420" w:type="dxa"/>
          </w:tcPr>
          <w:p w:rsidR="00A508CD" w:rsidRDefault="00A508CD" w:rsidP="00C21690">
            <w:pPr>
              <w:pStyle w:val="ListParagraph"/>
              <w:ind w:left="0"/>
            </w:pPr>
            <w:r>
              <w:t xml:space="preserve">75% </w:t>
            </w:r>
            <w:r w:rsidR="00C21690">
              <w:t>-84%</w:t>
            </w:r>
            <w:r>
              <w:t xml:space="preserve"> have non</w:t>
            </w:r>
            <w:r w:rsidR="00597051">
              <w:t>-</w:t>
            </w:r>
            <w:r>
              <w:t>cash benefits</w:t>
            </w:r>
          </w:p>
        </w:tc>
        <w:tc>
          <w:tcPr>
            <w:tcW w:w="1440" w:type="dxa"/>
          </w:tcPr>
          <w:p w:rsidR="00A508CD" w:rsidRDefault="00A508CD" w:rsidP="00651004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A508CD" w:rsidTr="00A508CD">
        <w:tc>
          <w:tcPr>
            <w:tcW w:w="3420" w:type="dxa"/>
          </w:tcPr>
          <w:p w:rsidR="00A508CD" w:rsidRDefault="00A508CD" w:rsidP="00597051">
            <w:pPr>
              <w:pStyle w:val="ListParagraph"/>
              <w:ind w:left="0"/>
            </w:pPr>
            <w:r>
              <w:t>65% - 74% have non</w:t>
            </w:r>
            <w:r w:rsidR="00597051">
              <w:t>-</w:t>
            </w:r>
            <w:r>
              <w:t>cash benefits</w:t>
            </w:r>
          </w:p>
        </w:tc>
        <w:tc>
          <w:tcPr>
            <w:tcW w:w="1440" w:type="dxa"/>
          </w:tcPr>
          <w:p w:rsidR="00A508CD" w:rsidRDefault="00A508CD" w:rsidP="00651004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A508CD" w:rsidTr="00A508CD">
        <w:tc>
          <w:tcPr>
            <w:tcW w:w="3420" w:type="dxa"/>
          </w:tcPr>
          <w:p w:rsidR="00A508CD" w:rsidRDefault="00A508CD" w:rsidP="00597051">
            <w:pPr>
              <w:pStyle w:val="ListParagraph"/>
              <w:ind w:left="0"/>
            </w:pPr>
            <w:r>
              <w:t>50% - 64% have non</w:t>
            </w:r>
            <w:r w:rsidR="00597051">
              <w:t>-</w:t>
            </w:r>
            <w:r>
              <w:t>cash benefits</w:t>
            </w:r>
          </w:p>
        </w:tc>
        <w:tc>
          <w:tcPr>
            <w:tcW w:w="1440" w:type="dxa"/>
          </w:tcPr>
          <w:p w:rsidR="00A508CD" w:rsidRDefault="00A508CD" w:rsidP="00651004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A508CD" w:rsidTr="00A508CD">
        <w:tc>
          <w:tcPr>
            <w:tcW w:w="3420" w:type="dxa"/>
          </w:tcPr>
          <w:p w:rsidR="00A508CD" w:rsidRDefault="00A508CD" w:rsidP="00597051">
            <w:pPr>
              <w:pStyle w:val="ListParagraph"/>
              <w:ind w:left="0"/>
            </w:pPr>
            <w:r>
              <w:t>25% - 49% have non</w:t>
            </w:r>
            <w:r w:rsidR="00597051">
              <w:t>-</w:t>
            </w:r>
            <w:r>
              <w:t>cash benefits</w:t>
            </w:r>
          </w:p>
        </w:tc>
        <w:tc>
          <w:tcPr>
            <w:tcW w:w="1440" w:type="dxa"/>
          </w:tcPr>
          <w:p w:rsidR="00A508CD" w:rsidRDefault="002301F6" w:rsidP="00651004">
            <w:pPr>
              <w:pStyle w:val="ListParagraph"/>
              <w:ind w:left="0"/>
              <w:jc w:val="center"/>
            </w:pPr>
            <w:r>
              <w:t>1-2</w:t>
            </w:r>
          </w:p>
        </w:tc>
      </w:tr>
      <w:tr w:rsidR="00A508CD" w:rsidTr="00A508CD">
        <w:tc>
          <w:tcPr>
            <w:tcW w:w="3420" w:type="dxa"/>
          </w:tcPr>
          <w:p w:rsidR="00A508CD" w:rsidRDefault="00A508CD" w:rsidP="00597051">
            <w:pPr>
              <w:pStyle w:val="ListParagraph"/>
              <w:ind w:left="0"/>
            </w:pPr>
            <w:r>
              <w:t>24% and below have non</w:t>
            </w:r>
            <w:r w:rsidR="00597051">
              <w:t>-</w:t>
            </w:r>
            <w:r>
              <w:t>cash benefits</w:t>
            </w:r>
          </w:p>
        </w:tc>
        <w:tc>
          <w:tcPr>
            <w:tcW w:w="1440" w:type="dxa"/>
          </w:tcPr>
          <w:p w:rsidR="00783D79" w:rsidRDefault="00783D79" w:rsidP="00651004">
            <w:pPr>
              <w:pStyle w:val="ListParagraph"/>
              <w:ind w:left="0"/>
              <w:jc w:val="center"/>
            </w:pPr>
          </w:p>
          <w:p w:rsidR="00A508CD" w:rsidRDefault="00A508CD" w:rsidP="00651004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:rsidR="00A508CD" w:rsidRDefault="00A508CD" w:rsidP="00A508CD">
      <w:pPr>
        <w:pStyle w:val="ListParagraph"/>
        <w:ind w:left="1485"/>
        <w:rPr>
          <w:sz w:val="16"/>
          <w:szCs w:val="16"/>
        </w:rPr>
      </w:pPr>
    </w:p>
    <w:p w:rsidR="006137ED" w:rsidRDefault="006137ED" w:rsidP="00E128AD">
      <w:pPr>
        <w:rPr>
          <w:b/>
          <w:u w:val="single"/>
        </w:rPr>
      </w:pPr>
    </w:p>
    <w:p w:rsidR="00E128AD" w:rsidRPr="00E128AD" w:rsidRDefault="00E128AD" w:rsidP="00E128AD">
      <w:pPr>
        <w:rPr>
          <w:b/>
          <w:u w:val="single"/>
        </w:rPr>
      </w:pPr>
      <w:r>
        <w:rPr>
          <w:b/>
          <w:u w:val="single"/>
        </w:rPr>
        <w:lastRenderedPageBreak/>
        <w:t>Section 4: Data Quality</w:t>
      </w:r>
    </w:p>
    <w:p w:rsidR="00B8621F" w:rsidRDefault="00B8621F" w:rsidP="00E128AD">
      <w:r>
        <w:t xml:space="preserve">Data Quality is the number of </w:t>
      </w:r>
      <w:r w:rsidR="00780E8D">
        <w:t>Missing Data Elements on an APR</w:t>
      </w:r>
      <w:r w:rsidR="000D25CF">
        <w:t xml:space="preserve"> </w:t>
      </w:r>
      <w:r w:rsidR="009D7A0E">
        <w:t>(</w:t>
      </w:r>
      <w:r w:rsidR="000D25CF">
        <w:t>Question 7</w:t>
      </w:r>
      <w:r w:rsidR="00BA038B">
        <w:t>)</w:t>
      </w:r>
      <w:r w:rsidR="00780E8D">
        <w:t>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B8621F" w:rsidTr="00651004">
        <w:tc>
          <w:tcPr>
            <w:tcW w:w="3420" w:type="dxa"/>
          </w:tcPr>
          <w:p w:rsidR="00B8621F" w:rsidRDefault="00B8621F" w:rsidP="00651004">
            <w:pPr>
              <w:pStyle w:val="ListParagraph"/>
              <w:ind w:left="0"/>
              <w:jc w:val="center"/>
            </w:pPr>
            <w:r>
              <w:t>Percentage</w:t>
            </w:r>
          </w:p>
        </w:tc>
        <w:tc>
          <w:tcPr>
            <w:tcW w:w="1440" w:type="dxa"/>
          </w:tcPr>
          <w:p w:rsidR="00B8621F" w:rsidRDefault="00B8621F" w:rsidP="00651004">
            <w:pPr>
              <w:pStyle w:val="ListParagraph"/>
              <w:ind w:left="0"/>
              <w:jc w:val="center"/>
            </w:pPr>
            <w:r>
              <w:t>Points</w:t>
            </w:r>
          </w:p>
        </w:tc>
      </w:tr>
      <w:tr w:rsidR="00B8621F" w:rsidTr="00651004">
        <w:tc>
          <w:tcPr>
            <w:tcW w:w="3420" w:type="dxa"/>
          </w:tcPr>
          <w:p w:rsidR="00B8621F" w:rsidRDefault="00B8621F" w:rsidP="00651004">
            <w:pPr>
              <w:pStyle w:val="ListParagraph"/>
              <w:ind w:left="0"/>
            </w:pPr>
            <w:r>
              <w:t>No data elements missing</w:t>
            </w:r>
          </w:p>
        </w:tc>
        <w:tc>
          <w:tcPr>
            <w:tcW w:w="1440" w:type="dxa"/>
          </w:tcPr>
          <w:p w:rsidR="00B8621F" w:rsidRDefault="00B8621F" w:rsidP="00651004">
            <w:pPr>
              <w:pStyle w:val="ListParagraph"/>
              <w:ind w:left="0"/>
              <w:jc w:val="center"/>
            </w:pPr>
            <w:r w:rsidRPr="00EE56C3">
              <w:t>5</w:t>
            </w:r>
          </w:p>
        </w:tc>
      </w:tr>
      <w:tr w:rsidR="00B8621F" w:rsidTr="00651004">
        <w:tc>
          <w:tcPr>
            <w:tcW w:w="3420" w:type="dxa"/>
          </w:tcPr>
          <w:p w:rsidR="00B8621F" w:rsidRDefault="00B8621F" w:rsidP="00651004">
            <w:pPr>
              <w:pStyle w:val="ListParagraph"/>
              <w:ind w:left="0"/>
            </w:pPr>
            <w:r>
              <w:t>All mi</w:t>
            </w:r>
            <w:r w:rsidR="00827544">
              <w:t>ssing data elements are under 5</w:t>
            </w:r>
            <w:r>
              <w:t>% or less of the number of total missing or don’t know or refused</w:t>
            </w:r>
          </w:p>
        </w:tc>
        <w:tc>
          <w:tcPr>
            <w:tcW w:w="1440" w:type="dxa"/>
          </w:tcPr>
          <w:p w:rsidR="00783D79" w:rsidRDefault="00783D79" w:rsidP="00651004">
            <w:pPr>
              <w:pStyle w:val="ListParagraph"/>
              <w:ind w:left="0"/>
              <w:jc w:val="center"/>
            </w:pPr>
          </w:p>
          <w:p w:rsidR="00783D79" w:rsidRDefault="00783D79" w:rsidP="00651004">
            <w:pPr>
              <w:pStyle w:val="ListParagraph"/>
              <w:ind w:left="0"/>
              <w:jc w:val="center"/>
            </w:pPr>
          </w:p>
          <w:p w:rsidR="00B8621F" w:rsidRDefault="00B8621F" w:rsidP="00651004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827544" w:rsidTr="00651004">
        <w:tc>
          <w:tcPr>
            <w:tcW w:w="3420" w:type="dxa"/>
          </w:tcPr>
          <w:p w:rsidR="00827544" w:rsidRDefault="00827544" w:rsidP="00B8621F">
            <w:pPr>
              <w:pStyle w:val="ListParagraph"/>
              <w:ind w:left="0"/>
            </w:pPr>
            <w:r>
              <w:t>One or more data elements are over 5% but less than 10%</w:t>
            </w:r>
          </w:p>
        </w:tc>
        <w:tc>
          <w:tcPr>
            <w:tcW w:w="1440" w:type="dxa"/>
          </w:tcPr>
          <w:p w:rsidR="00783D79" w:rsidRDefault="00783D79" w:rsidP="00651004">
            <w:pPr>
              <w:pStyle w:val="ListParagraph"/>
              <w:ind w:left="0"/>
              <w:jc w:val="center"/>
            </w:pPr>
          </w:p>
          <w:p w:rsidR="00827544" w:rsidRDefault="00827544" w:rsidP="00651004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B8621F" w:rsidTr="00651004">
        <w:tc>
          <w:tcPr>
            <w:tcW w:w="3420" w:type="dxa"/>
          </w:tcPr>
          <w:p w:rsidR="00B8621F" w:rsidRDefault="00B8621F" w:rsidP="00B8621F">
            <w:pPr>
              <w:pStyle w:val="ListParagraph"/>
              <w:ind w:left="0"/>
            </w:pPr>
            <w:r>
              <w:t xml:space="preserve">One or more data elements are </w:t>
            </w:r>
            <w:r w:rsidR="00827544">
              <w:t>over 10</w:t>
            </w:r>
            <w:r>
              <w:t>% but less than 25%</w:t>
            </w:r>
          </w:p>
        </w:tc>
        <w:tc>
          <w:tcPr>
            <w:tcW w:w="1440" w:type="dxa"/>
          </w:tcPr>
          <w:p w:rsidR="00783D79" w:rsidRDefault="00783D79" w:rsidP="00651004">
            <w:pPr>
              <w:pStyle w:val="ListParagraph"/>
              <w:ind w:left="0"/>
              <w:jc w:val="center"/>
            </w:pPr>
          </w:p>
          <w:p w:rsidR="00B8621F" w:rsidRDefault="00827544" w:rsidP="00651004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B8621F" w:rsidTr="00651004">
        <w:tc>
          <w:tcPr>
            <w:tcW w:w="3420" w:type="dxa"/>
          </w:tcPr>
          <w:p w:rsidR="00B8621F" w:rsidRDefault="00B8621F" w:rsidP="00B8621F">
            <w:pPr>
              <w:pStyle w:val="ListParagraph"/>
              <w:ind w:left="0"/>
            </w:pPr>
            <w:r>
              <w:t xml:space="preserve">One or more data elements are missing or don’t know </w:t>
            </w:r>
            <w:r w:rsidR="003B6690">
              <w:t xml:space="preserve">or </w:t>
            </w:r>
            <w:r>
              <w:t>refused over 25%</w:t>
            </w:r>
          </w:p>
        </w:tc>
        <w:tc>
          <w:tcPr>
            <w:tcW w:w="1440" w:type="dxa"/>
          </w:tcPr>
          <w:p w:rsidR="00783D79" w:rsidRDefault="00783D79" w:rsidP="00651004">
            <w:pPr>
              <w:pStyle w:val="ListParagraph"/>
              <w:ind w:left="0"/>
              <w:jc w:val="center"/>
            </w:pPr>
          </w:p>
          <w:p w:rsidR="00783D79" w:rsidRDefault="00783D79" w:rsidP="00651004">
            <w:pPr>
              <w:pStyle w:val="ListParagraph"/>
              <w:ind w:left="0"/>
              <w:jc w:val="center"/>
            </w:pPr>
          </w:p>
          <w:p w:rsidR="00B8621F" w:rsidRDefault="00827544" w:rsidP="00651004">
            <w:pPr>
              <w:pStyle w:val="ListParagraph"/>
              <w:ind w:left="0"/>
              <w:jc w:val="center"/>
            </w:pPr>
            <w:r>
              <w:t>0-1</w:t>
            </w:r>
          </w:p>
        </w:tc>
      </w:tr>
    </w:tbl>
    <w:p w:rsidR="00E128AD" w:rsidRDefault="00E128AD" w:rsidP="00E128AD">
      <w:pPr>
        <w:rPr>
          <w:b/>
          <w:u w:val="single"/>
        </w:rPr>
      </w:pPr>
    </w:p>
    <w:p w:rsidR="00E128AD" w:rsidRPr="00492930" w:rsidRDefault="00E128AD" w:rsidP="00E128AD">
      <w:pPr>
        <w:rPr>
          <w:b/>
          <w:u w:val="single"/>
        </w:rPr>
      </w:pPr>
      <w:r>
        <w:rPr>
          <w:b/>
          <w:u w:val="single"/>
        </w:rPr>
        <w:t>Section 5: Budget</w:t>
      </w:r>
    </w:p>
    <w:p w:rsidR="003D4835" w:rsidRDefault="00A508CD" w:rsidP="00197337">
      <w:pPr>
        <w:pStyle w:val="ListParagraph"/>
        <w:numPr>
          <w:ilvl w:val="0"/>
          <w:numId w:val="10"/>
        </w:numPr>
      </w:pPr>
      <w:r>
        <w:t xml:space="preserve">Amount of Funds under-utilized by grant during program year reported </w:t>
      </w:r>
      <w:r w:rsidR="000D25CF">
        <w:t xml:space="preserve">on final </w:t>
      </w:r>
      <w:r>
        <w:t>APR.</w:t>
      </w:r>
      <w:r w:rsidR="000D25CF">
        <w:t xml:space="preserve">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EA6B0D" w:rsidTr="00A508CD">
        <w:tc>
          <w:tcPr>
            <w:tcW w:w="3420" w:type="dxa"/>
          </w:tcPr>
          <w:p w:rsidR="00EA6B0D" w:rsidRDefault="00EA6B0D" w:rsidP="00565A68">
            <w:r>
              <w:t>0-</w:t>
            </w:r>
            <w:r w:rsidR="00565A68">
              <w:t>2</w:t>
            </w:r>
            <w:r>
              <w:t>% return of funds</w:t>
            </w:r>
          </w:p>
        </w:tc>
        <w:tc>
          <w:tcPr>
            <w:tcW w:w="1440" w:type="dxa"/>
          </w:tcPr>
          <w:p w:rsidR="00EA6B0D" w:rsidRDefault="00EA6B0D" w:rsidP="00EA6B0D">
            <w:pPr>
              <w:jc w:val="center"/>
            </w:pPr>
            <w:r w:rsidRPr="00EE56C3">
              <w:t>5</w:t>
            </w:r>
          </w:p>
        </w:tc>
      </w:tr>
      <w:tr w:rsidR="00EA6B0D" w:rsidTr="00A508CD">
        <w:tc>
          <w:tcPr>
            <w:tcW w:w="3420" w:type="dxa"/>
          </w:tcPr>
          <w:p w:rsidR="00EA6B0D" w:rsidRDefault="00565A68" w:rsidP="00A508CD">
            <w:r>
              <w:t>3-4</w:t>
            </w:r>
            <w:r w:rsidR="00EA6B0D">
              <w:t>% return of funds</w:t>
            </w:r>
          </w:p>
        </w:tc>
        <w:tc>
          <w:tcPr>
            <w:tcW w:w="1440" w:type="dxa"/>
          </w:tcPr>
          <w:p w:rsidR="00EA6B0D" w:rsidRDefault="00565A68" w:rsidP="00EA6B0D">
            <w:pPr>
              <w:jc w:val="center"/>
            </w:pPr>
            <w:r>
              <w:t>4</w:t>
            </w:r>
          </w:p>
        </w:tc>
      </w:tr>
      <w:tr w:rsidR="00EA6B0D" w:rsidTr="00A508CD">
        <w:tc>
          <w:tcPr>
            <w:tcW w:w="3420" w:type="dxa"/>
          </w:tcPr>
          <w:p w:rsidR="00EA6B0D" w:rsidRDefault="00565A68" w:rsidP="00565A68">
            <w:r>
              <w:t xml:space="preserve">5-8 </w:t>
            </w:r>
            <w:r w:rsidR="00EA6B0D">
              <w:t xml:space="preserve">% </w:t>
            </w:r>
            <w:r>
              <w:t>return of funds</w:t>
            </w:r>
          </w:p>
        </w:tc>
        <w:tc>
          <w:tcPr>
            <w:tcW w:w="1440" w:type="dxa"/>
          </w:tcPr>
          <w:p w:rsidR="00EA6B0D" w:rsidRDefault="00565A68" w:rsidP="00EA6B0D">
            <w:pPr>
              <w:jc w:val="center"/>
            </w:pPr>
            <w:r>
              <w:t>3</w:t>
            </w:r>
          </w:p>
        </w:tc>
      </w:tr>
      <w:tr w:rsidR="00565A68" w:rsidTr="00A508CD">
        <w:tc>
          <w:tcPr>
            <w:tcW w:w="3420" w:type="dxa"/>
          </w:tcPr>
          <w:p w:rsidR="00565A68" w:rsidRDefault="00565A68" w:rsidP="00A508CD">
            <w:r>
              <w:t>9-10% return of funds</w:t>
            </w:r>
          </w:p>
        </w:tc>
        <w:tc>
          <w:tcPr>
            <w:tcW w:w="1440" w:type="dxa"/>
          </w:tcPr>
          <w:p w:rsidR="00565A68" w:rsidRDefault="00565A68" w:rsidP="00EA6B0D">
            <w:pPr>
              <w:jc w:val="center"/>
            </w:pPr>
            <w:r>
              <w:t>2</w:t>
            </w:r>
          </w:p>
        </w:tc>
      </w:tr>
      <w:tr w:rsidR="00565A68" w:rsidTr="00A508CD">
        <w:tc>
          <w:tcPr>
            <w:tcW w:w="3420" w:type="dxa"/>
          </w:tcPr>
          <w:p w:rsidR="00565A68" w:rsidRDefault="00565A68" w:rsidP="00A508CD">
            <w:r>
              <w:t>11-13% return of funds</w:t>
            </w:r>
          </w:p>
        </w:tc>
        <w:tc>
          <w:tcPr>
            <w:tcW w:w="1440" w:type="dxa"/>
          </w:tcPr>
          <w:p w:rsidR="00565A68" w:rsidRDefault="00565A68" w:rsidP="00EA6B0D">
            <w:pPr>
              <w:jc w:val="center"/>
            </w:pPr>
            <w:r>
              <w:t>1</w:t>
            </w:r>
          </w:p>
        </w:tc>
      </w:tr>
      <w:tr w:rsidR="00565A68" w:rsidTr="00A508CD">
        <w:tc>
          <w:tcPr>
            <w:tcW w:w="3420" w:type="dxa"/>
          </w:tcPr>
          <w:p w:rsidR="00565A68" w:rsidRDefault="00565A68" w:rsidP="00A508CD">
            <w:r>
              <w:t>&gt;13% return of funds</w:t>
            </w:r>
          </w:p>
        </w:tc>
        <w:tc>
          <w:tcPr>
            <w:tcW w:w="1440" w:type="dxa"/>
          </w:tcPr>
          <w:p w:rsidR="00565A68" w:rsidRDefault="00565A68" w:rsidP="00EA6B0D">
            <w:pPr>
              <w:jc w:val="center"/>
            </w:pPr>
            <w:r>
              <w:t>0</w:t>
            </w:r>
          </w:p>
        </w:tc>
      </w:tr>
    </w:tbl>
    <w:p w:rsidR="00197337" w:rsidRDefault="00197337" w:rsidP="00197337"/>
    <w:p w:rsidR="006C1584" w:rsidRDefault="00197337" w:rsidP="00197337">
      <w:pPr>
        <w:pStyle w:val="ListParagraph"/>
        <w:numPr>
          <w:ilvl w:val="0"/>
          <w:numId w:val="10"/>
        </w:numPr>
      </w:pPr>
      <w:r>
        <w:t>Billings were received on time with appropriate and correct support documentation.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197337" w:rsidTr="00197337">
        <w:tc>
          <w:tcPr>
            <w:tcW w:w="3420" w:type="dxa"/>
          </w:tcPr>
          <w:p w:rsidR="00197337" w:rsidRDefault="00197337" w:rsidP="00197337">
            <w:r>
              <w:t>All billings were submitted correctly and with support documentation</w:t>
            </w:r>
          </w:p>
        </w:tc>
        <w:tc>
          <w:tcPr>
            <w:tcW w:w="1440" w:type="dxa"/>
          </w:tcPr>
          <w:p w:rsidR="00197337" w:rsidRDefault="00197337" w:rsidP="00197337">
            <w:pPr>
              <w:jc w:val="center"/>
            </w:pPr>
            <w:r w:rsidRPr="00EE56C3">
              <w:t>5</w:t>
            </w:r>
          </w:p>
        </w:tc>
      </w:tr>
      <w:tr w:rsidR="00197337" w:rsidTr="00197337">
        <w:tc>
          <w:tcPr>
            <w:tcW w:w="3420" w:type="dxa"/>
          </w:tcPr>
          <w:p w:rsidR="00197337" w:rsidRDefault="00CC39CD" w:rsidP="00197337">
            <w:r>
              <w:t>2-3</w:t>
            </w:r>
            <w:r w:rsidR="004C3B2E">
              <w:t xml:space="preserve"> </w:t>
            </w:r>
            <w:r w:rsidR="00197337">
              <w:t>billings were submitted late and/or required minor documentation adjustments</w:t>
            </w:r>
          </w:p>
        </w:tc>
        <w:tc>
          <w:tcPr>
            <w:tcW w:w="1440" w:type="dxa"/>
          </w:tcPr>
          <w:p w:rsidR="00197337" w:rsidRDefault="00197337" w:rsidP="00197337">
            <w:pPr>
              <w:jc w:val="center"/>
            </w:pPr>
            <w:r>
              <w:t>4</w:t>
            </w:r>
          </w:p>
        </w:tc>
      </w:tr>
      <w:tr w:rsidR="00197337" w:rsidTr="00197337">
        <w:tc>
          <w:tcPr>
            <w:tcW w:w="3420" w:type="dxa"/>
          </w:tcPr>
          <w:p w:rsidR="00197337" w:rsidRDefault="00197337" w:rsidP="00197337">
            <w:r>
              <w:t>4-6 billings were submitted late and/or required documentation changes</w:t>
            </w:r>
          </w:p>
          <w:p w:rsidR="00197337" w:rsidRDefault="00197337" w:rsidP="00197337"/>
        </w:tc>
        <w:tc>
          <w:tcPr>
            <w:tcW w:w="1440" w:type="dxa"/>
          </w:tcPr>
          <w:p w:rsidR="00197337" w:rsidRDefault="00197337" w:rsidP="00197337">
            <w:pPr>
              <w:jc w:val="center"/>
            </w:pPr>
            <w:r>
              <w:t>3</w:t>
            </w:r>
          </w:p>
        </w:tc>
      </w:tr>
      <w:tr w:rsidR="00197337" w:rsidTr="00197337">
        <w:tc>
          <w:tcPr>
            <w:tcW w:w="3420" w:type="dxa"/>
          </w:tcPr>
          <w:p w:rsidR="00197337" w:rsidRDefault="00197337" w:rsidP="004C3B2E">
            <w:r>
              <w:t>Over 6 billings were submitted late and</w:t>
            </w:r>
            <w:r w:rsidR="004C3B2E">
              <w:t>/</w:t>
            </w:r>
            <w:r>
              <w:t xml:space="preserve">or required major documentation </w:t>
            </w:r>
          </w:p>
        </w:tc>
        <w:tc>
          <w:tcPr>
            <w:tcW w:w="1440" w:type="dxa"/>
          </w:tcPr>
          <w:p w:rsidR="00197337" w:rsidRDefault="00197337" w:rsidP="00197337">
            <w:pPr>
              <w:jc w:val="center"/>
            </w:pPr>
            <w:r>
              <w:t>2-1</w:t>
            </w:r>
          </w:p>
        </w:tc>
      </w:tr>
      <w:tr w:rsidR="00197337" w:rsidTr="00197337">
        <w:tc>
          <w:tcPr>
            <w:tcW w:w="3420" w:type="dxa"/>
          </w:tcPr>
          <w:p w:rsidR="00197337" w:rsidRDefault="00197337" w:rsidP="00197337">
            <w:r>
              <w:t>All billings were late and/or incorrect requiring major changes and adjustments</w:t>
            </w:r>
          </w:p>
        </w:tc>
        <w:tc>
          <w:tcPr>
            <w:tcW w:w="1440" w:type="dxa"/>
          </w:tcPr>
          <w:p w:rsidR="00197337" w:rsidRDefault="00197337" w:rsidP="00197337">
            <w:pPr>
              <w:jc w:val="center"/>
            </w:pPr>
            <w:r>
              <w:t>0</w:t>
            </w:r>
          </w:p>
        </w:tc>
      </w:tr>
    </w:tbl>
    <w:p w:rsidR="00197337" w:rsidRDefault="00197337" w:rsidP="00197337">
      <w:pPr>
        <w:pStyle w:val="ListParagraph"/>
      </w:pPr>
    </w:p>
    <w:p w:rsidR="00E128AD" w:rsidRPr="00492930" w:rsidRDefault="00E128AD" w:rsidP="00E128AD">
      <w:pPr>
        <w:rPr>
          <w:b/>
          <w:u w:val="single"/>
        </w:rPr>
      </w:pPr>
      <w:r>
        <w:rPr>
          <w:b/>
          <w:u w:val="single"/>
        </w:rPr>
        <w:t xml:space="preserve">Section 6: Program Specific </w:t>
      </w:r>
      <w:r w:rsidR="008A6FF0">
        <w:rPr>
          <w:b/>
          <w:u w:val="single"/>
        </w:rPr>
        <w:t>Measures</w:t>
      </w:r>
    </w:p>
    <w:p w:rsidR="00E128AD" w:rsidRDefault="00E128AD" w:rsidP="00E128AD">
      <w:r>
        <w:t xml:space="preserve">There are two program specific measures that each project should answer. A Permanent Housing program should answer the Permanent Housing question only. The Transitional Housing Program should answer the Transitional Housing question only. </w:t>
      </w:r>
      <w:r w:rsidR="008C0161">
        <w:t xml:space="preserve"> </w:t>
      </w:r>
      <w:r>
        <w:t>If a project answers both questions</w:t>
      </w:r>
      <w:r w:rsidR="008A6FF0">
        <w:t>,</w:t>
      </w:r>
      <w:r>
        <w:t xml:space="preserve"> they should be given zero points since they did not follow instructions. Safe Haven Programs are the exception since they are technically </w:t>
      </w:r>
      <w:r w:rsidR="008B6987">
        <w:t>neither PH nor</w:t>
      </w:r>
      <w:r>
        <w:t xml:space="preserve"> TH</w:t>
      </w:r>
      <w:r w:rsidR="008A6FF0">
        <w:t>;</w:t>
      </w:r>
      <w:r>
        <w:t xml:space="preserve"> however</w:t>
      </w:r>
      <w:r w:rsidR="008A6FF0">
        <w:t>,</w:t>
      </w:r>
      <w:r>
        <w:t xml:space="preserve"> they could answer either question but </w:t>
      </w:r>
      <w:r w:rsidRPr="005E6FAA">
        <w:rPr>
          <w:b/>
        </w:rPr>
        <w:t>NOT BOTH</w:t>
      </w:r>
      <w:r>
        <w:t>.</w:t>
      </w:r>
    </w:p>
    <w:p w:rsidR="00A508CD" w:rsidRDefault="008C0161" w:rsidP="005278C2">
      <w:pPr>
        <w:pStyle w:val="ListParagraph"/>
        <w:numPr>
          <w:ilvl w:val="0"/>
          <w:numId w:val="7"/>
        </w:numPr>
      </w:pPr>
      <w:r>
        <w:t>P</w:t>
      </w:r>
      <w:r w:rsidR="00445DDE">
        <w:t xml:space="preserve">ermanent </w:t>
      </w:r>
      <w:r>
        <w:t>H</w:t>
      </w:r>
      <w:r w:rsidR="00445DDE">
        <w:t>ousing:</w:t>
      </w:r>
      <w:r>
        <w:t xml:space="preserve"> </w:t>
      </w:r>
      <w:r w:rsidR="00BB4836">
        <w:t xml:space="preserve">This question applies only to Permanent Housing programs. </w:t>
      </w:r>
      <w:r w:rsidR="00B8621F">
        <w:t>Chronic Homeless Points</w:t>
      </w:r>
      <w:r w:rsidR="008508EE">
        <w:t xml:space="preserve"> (Max. 5 points)</w:t>
      </w:r>
      <w:r w:rsidR="00C43D27">
        <w:t>: P</w:t>
      </w:r>
      <w:r w:rsidR="00B8621F">
        <w:t xml:space="preserve">oints may be awarded to agencies who dedicated all or a portion of their beds to Chronic Homeless. An existing 100% chronic homeless program can be awarded </w:t>
      </w:r>
      <w:r w:rsidR="000D25CF">
        <w:t>a maximum 5 points</w:t>
      </w:r>
      <w:r w:rsidR="008508EE">
        <w:t>. If a project shifted a portion of their overall bed capacity to serving chronic homeless</w:t>
      </w:r>
      <w:r w:rsidR="00012335">
        <w:t xml:space="preserve"> in HUD 201</w:t>
      </w:r>
      <w:r w:rsidR="000D25CF">
        <w:t>5</w:t>
      </w:r>
      <w:r w:rsidR="00012335">
        <w:t xml:space="preserve"> application</w:t>
      </w:r>
      <w:r w:rsidR="008508EE">
        <w:t xml:space="preserve">, they may be </w:t>
      </w:r>
      <w:r w:rsidR="00C43D27">
        <w:t>awarded a portion o</w:t>
      </w:r>
      <w:r w:rsidR="000D25CF">
        <w:t>f the points</w:t>
      </w:r>
      <w:r w:rsidR="008508EE">
        <w:t>. A project in 201</w:t>
      </w:r>
      <w:r w:rsidR="000D25CF">
        <w:t>6</w:t>
      </w:r>
      <w:r w:rsidR="00895C88">
        <w:t>, which is</w:t>
      </w:r>
      <w:r w:rsidR="008508EE">
        <w:t xml:space="preserve"> new to </w:t>
      </w:r>
      <w:r w:rsidR="000D25CF">
        <w:t>prioritizing</w:t>
      </w:r>
      <w:r w:rsidR="008508EE">
        <w:t xml:space="preserve"> chronic homeless </w:t>
      </w:r>
      <w:r w:rsidR="00895C88">
        <w:t>but</w:t>
      </w:r>
      <w:r w:rsidR="008508EE">
        <w:t xml:space="preserve"> did not serve </w:t>
      </w:r>
      <w:proofErr w:type="gramStart"/>
      <w:r w:rsidR="008508EE">
        <w:t>them</w:t>
      </w:r>
      <w:proofErr w:type="gramEnd"/>
      <w:r w:rsidR="008508EE">
        <w:t xml:space="preserve"> </w:t>
      </w:r>
      <w:r w:rsidR="004D3675">
        <w:t>previously,</w:t>
      </w:r>
      <w:r w:rsidR="008508EE">
        <w:t xml:space="preserve"> could be awarded a portion of the chronic homeless points. </w:t>
      </w:r>
      <w:r w:rsidR="00EA6B0D">
        <w:t>The chroni</w:t>
      </w:r>
      <w:r w:rsidR="005278C2">
        <w:t xml:space="preserve">c homeless question is found on </w:t>
      </w:r>
      <w:r w:rsidR="005278C2" w:rsidRPr="00380262">
        <w:t xml:space="preserve">Section 6 </w:t>
      </w:r>
      <w:r w:rsidR="00EA6B0D">
        <w:t xml:space="preserve">of the Performance Benchmark Report. </w:t>
      </w:r>
      <w:r w:rsidR="008508EE">
        <w:t xml:space="preserve">(See scale below) 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8508EE" w:rsidTr="00651004">
        <w:tc>
          <w:tcPr>
            <w:tcW w:w="3420" w:type="dxa"/>
          </w:tcPr>
          <w:p w:rsidR="008508EE" w:rsidRDefault="008508EE" w:rsidP="00827544">
            <w:r>
              <w:t xml:space="preserve">100% dedicated to serving Chronic Homeless </w:t>
            </w:r>
          </w:p>
        </w:tc>
        <w:tc>
          <w:tcPr>
            <w:tcW w:w="1440" w:type="dxa"/>
          </w:tcPr>
          <w:p w:rsidR="00783D79" w:rsidRDefault="00783D79" w:rsidP="00651004"/>
          <w:p w:rsidR="008508EE" w:rsidRDefault="008508EE" w:rsidP="00651004">
            <w:r>
              <w:t>5</w:t>
            </w:r>
          </w:p>
        </w:tc>
      </w:tr>
      <w:tr w:rsidR="008508EE" w:rsidTr="00651004">
        <w:tc>
          <w:tcPr>
            <w:tcW w:w="3420" w:type="dxa"/>
          </w:tcPr>
          <w:p w:rsidR="008508EE" w:rsidRDefault="008508EE" w:rsidP="000D25CF">
            <w:r>
              <w:t xml:space="preserve">Project committed to </w:t>
            </w:r>
            <w:r w:rsidR="000D25CF">
              <w:t>prioritizing a</w:t>
            </w:r>
            <w:r>
              <w:t xml:space="preserve"> portion of their beds to chronic homeless in 201</w:t>
            </w:r>
            <w:r w:rsidR="000D25CF">
              <w:t>5</w:t>
            </w:r>
            <w:r w:rsidR="008A6FF0">
              <w:t>;</w:t>
            </w:r>
            <w:r>
              <w:t xml:space="preserve"> will commit more </w:t>
            </w:r>
            <w:r w:rsidR="000D25CF">
              <w:t xml:space="preserve">turnover </w:t>
            </w:r>
            <w:r>
              <w:t>beds in 201</w:t>
            </w:r>
            <w:r w:rsidR="000D25CF">
              <w:t>6</w:t>
            </w:r>
          </w:p>
        </w:tc>
        <w:tc>
          <w:tcPr>
            <w:tcW w:w="1440" w:type="dxa"/>
          </w:tcPr>
          <w:p w:rsidR="00783D79" w:rsidRDefault="00783D79" w:rsidP="00651004"/>
          <w:p w:rsidR="00783D79" w:rsidRDefault="00783D79" w:rsidP="00651004"/>
          <w:p w:rsidR="00783D79" w:rsidRDefault="00783D79" w:rsidP="00651004"/>
          <w:p w:rsidR="008508EE" w:rsidRDefault="008508EE" w:rsidP="00651004">
            <w:r>
              <w:t>4</w:t>
            </w:r>
          </w:p>
        </w:tc>
      </w:tr>
      <w:tr w:rsidR="008508EE" w:rsidTr="00651004">
        <w:tc>
          <w:tcPr>
            <w:tcW w:w="3420" w:type="dxa"/>
          </w:tcPr>
          <w:p w:rsidR="008508EE" w:rsidRDefault="008508EE" w:rsidP="009D7A0E">
            <w:r>
              <w:t xml:space="preserve">Project committed to </w:t>
            </w:r>
            <w:r w:rsidR="000D25CF">
              <w:t>prioritizing a</w:t>
            </w:r>
            <w:r>
              <w:t xml:space="preserve"> portion of their beds to chronic homeless in 201</w:t>
            </w:r>
            <w:r w:rsidR="000D25CF">
              <w:t>5</w:t>
            </w:r>
            <w:r>
              <w:t xml:space="preserve"> and the</w:t>
            </w:r>
            <w:r w:rsidR="009D7A0E">
              <w:t xml:space="preserve"> same number of</w:t>
            </w:r>
            <w:r>
              <w:t xml:space="preserve"> </w:t>
            </w:r>
            <w:r w:rsidR="009D7A0E">
              <w:t xml:space="preserve">turnover </w:t>
            </w:r>
            <w:r>
              <w:t xml:space="preserve">beds will remain </w:t>
            </w:r>
            <w:r w:rsidR="009D7A0E">
              <w:t>for</w:t>
            </w:r>
            <w:r>
              <w:t xml:space="preserve"> chronic homeless </w:t>
            </w:r>
          </w:p>
        </w:tc>
        <w:tc>
          <w:tcPr>
            <w:tcW w:w="1440" w:type="dxa"/>
          </w:tcPr>
          <w:p w:rsidR="00783D79" w:rsidRDefault="00783D79" w:rsidP="00651004"/>
          <w:p w:rsidR="00783D79" w:rsidRDefault="00783D79" w:rsidP="00651004"/>
          <w:p w:rsidR="00783D79" w:rsidRDefault="00783D79" w:rsidP="00651004"/>
          <w:p w:rsidR="00783D79" w:rsidRDefault="00783D79" w:rsidP="00651004"/>
          <w:p w:rsidR="008508EE" w:rsidRDefault="008508EE" w:rsidP="00651004">
            <w:r>
              <w:t>3</w:t>
            </w:r>
          </w:p>
        </w:tc>
      </w:tr>
      <w:tr w:rsidR="008508EE" w:rsidTr="00651004">
        <w:tc>
          <w:tcPr>
            <w:tcW w:w="3420" w:type="dxa"/>
          </w:tcPr>
          <w:p w:rsidR="008508EE" w:rsidRDefault="008508EE" w:rsidP="009D7A0E">
            <w:r>
              <w:t xml:space="preserve">Project is just committing to </w:t>
            </w:r>
            <w:r w:rsidR="009D7A0E">
              <w:t>prioritizing turnover beds to</w:t>
            </w:r>
            <w:r>
              <w:t xml:space="preserve"> chronic homeless in 201</w:t>
            </w:r>
            <w:r w:rsidR="009D7A0E">
              <w:t>6</w:t>
            </w:r>
            <w:r>
              <w:t xml:space="preserve"> </w:t>
            </w:r>
          </w:p>
        </w:tc>
        <w:tc>
          <w:tcPr>
            <w:tcW w:w="1440" w:type="dxa"/>
          </w:tcPr>
          <w:p w:rsidR="00783D79" w:rsidRDefault="00783D79" w:rsidP="00651004"/>
          <w:p w:rsidR="00783D79" w:rsidRDefault="00783D79" w:rsidP="00651004"/>
          <w:p w:rsidR="008508EE" w:rsidRDefault="008508EE" w:rsidP="00651004">
            <w:r>
              <w:t>2</w:t>
            </w:r>
          </w:p>
        </w:tc>
      </w:tr>
      <w:tr w:rsidR="008508EE" w:rsidTr="00651004">
        <w:tc>
          <w:tcPr>
            <w:tcW w:w="3420" w:type="dxa"/>
          </w:tcPr>
          <w:p w:rsidR="008508EE" w:rsidRDefault="008508EE" w:rsidP="009D7A0E">
            <w:r>
              <w:t xml:space="preserve">Project is not </w:t>
            </w:r>
            <w:r w:rsidR="009D7A0E">
              <w:t>prioritizing any</w:t>
            </w:r>
            <w:r w:rsidR="00832F4D">
              <w:t xml:space="preserve"> </w:t>
            </w:r>
            <w:r w:rsidR="009D7A0E">
              <w:t>turnover beds for chronic homeless previously, currently or in the HUD 2016 application.</w:t>
            </w:r>
          </w:p>
        </w:tc>
        <w:tc>
          <w:tcPr>
            <w:tcW w:w="1440" w:type="dxa"/>
          </w:tcPr>
          <w:p w:rsidR="00153F2B" w:rsidRDefault="00153F2B" w:rsidP="00651004"/>
          <w:p w:rsidR="00783D79" w:rsidRDefault="00783D79" w:rsidP="00651004"/>
          <w:p w:rsidR="00783D79" w:rsidRDefault="00783D79" w:rsidP="00651004"/>
          <w:p w:rsidR="008508EE" w:rsidRDefault="008508EE" w:rsidP="00651004">
            <w:r>
              <w:t>0</w:t>
            </w:r>
          </w:p>
        </w:tc>
      </w:tr>
    </w:tbl>
    <w:p w:rsidR="0050510D" w:rsidRDefault="008450B3">
      <w:r>
        <w:tab/>
      </w:r>
      <w:r>
        <w:tab/>
      </w:r>
    </w:p>
    <w:p w:rsidR="006137ED" w:rsidRDefault="006137ED" w:rsidP="006137ED">
      <w:pPr>
        <w:pStyle w:val="ListParagraph"/>
      </w:pPr>
    </w:p>
    <w:p w:rsidR="006137ED" w:rsidRDefault="006137ED" w:rsidP="006137ED">
      <w:pPr>
        <w:ind w:left="360"/>
      </w:pPr>
    </w:p>
    <w:p w:rsidR="001A16DB" w:rsidRDefault="001A16DB" w:rsidP="001A16DB">
      <w:pPr>
        <w:pStyle w:val="ListParagraph"/>
      </w:pPr>
    </w:p>
    <w:p w:rsidR="001A16DB" w:rsidRDefault="001A16DB" w:rsidP="001A16DB">
      <w:pPr>
        <w:pStyle w:val="ListParagraph"/>
      </w:pPr>
    </w:p>
    <w:p w:rsidR="008450B3" w:rsidRDefault="008C0161" w:rsidP="00E128AD">
      <w:pPr>
        <w:pStyle w:val="ListParagraph"/>
        <w:numPr>
          <w:ilvl w:val="0"/>
          <w:numId w:val="7"/>
        </w:numPr>
      </w:pPr>
      <w:r>
        <w:lastRenderedPageBreak/>
        <w:t>T</w:t>
      </w:r>
      <w:r w:rsidR="00445DDE">
        <w:t xml:space="preserve">ransitional </w:t>
      </w:r>
      <w:r>
        <w:t>H</w:t>
      </w:r>
      <w:r w:rsidR="00445DDE">
        <w:t>ousing:</w:t>
      </w:r>
      <w:r>
        <w:t xml:space="preserve"> </w:t>
      </w:r>
      <w:r w:rsidR="00BB4836">
        <w:t xml:space="preserve">This question applies only to Transitional Housing projects. </w:t>
      </w:r>
      <w:r w:rsidR="00972CE1">
        <w:t>One of the priorities of the HEARTH Act is to reduce the length of time an individual or family remains homeless</w:t>
      </w:r>
      <w:r w:rsidR="009D7A0E">
        <w:t xml:space="preserve"> in a Transitional Housing Program</w:t>
      </w:r>
      <w:r w:rsidR="00972CE1">
        <w:t xml:space="preserve">. </w:t>
      </w:r>
      <w:r w:rsidR="009D7A0E">
        <w:t>For this question</w:t>
      </w:r>
      <w:r w:rsidR="004C3B2E">
        <w:t>,</w:t>
      </w:r>
      <w:r w:rsidR="009D7A0E">
        <w:t xml:space="preserve"> the Length of Stay for a project will be reported from the </w:t>
      </w:r>
      <w:r w:rsidR="00971E7C">
        <w:t>median</w:t>
      </w:r>
      <w:r w:rsidR="009D7A0E">
        <w:t xml:space="preserve"> length of stay of persons exiting on their last HUD ESNAPS submitted APR. (Question 27)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420"/>
        <w:gridCol w:w="1440"/>
      </w:tblGrid>
      <w:tr w:rsidR="00972CE1" w:rsidTr="00FF0A60">
        <w:tc>
          <w:tcPr>
            <w:tcW w:w="3420" w:type="dxa"/>
          </w:tcPr>
          <w:p w:rsidR="00972CE1" w:rsidRDefault="009D7A0E" w:rsidP="00972CE1">
            <w:r>
              <w:t>0 to 90 days</w:t>
            </w:r>
          </w:p>
        </w:tc>
        <w:tc>
          <w:tcPr>
            <w:tcW w:w="1440" w:type="dxa"/>
          </w:tcPr>
          <w:p w:rsidR="00972CE1" w:rsidRDefault="00972CE1" w:rsidP="00972CE1">
            <w:r>
              <w:t>5</w:t>
            </w:r>
          </w:p>
        </w:tc>
      </w:tr>
      <w:tr w:rsidR="00972CE1" w:rsidTr="00FF0A60">
        <w:tc>
          <w:tcPr>
            <w:tcW w:w="3420" w:type="dxa"/>
          </w:tcPr>
          <w:p w:rsidR="00972CE1" w:rsidRDefault="009D7A0E" w:rsidP="00972CE1">
            <w:r>
              <w:t>91- 180 days</w:t>
            </w:r>
          </w:p>
        </w:tc>
        <w:tc>
          <w:tcPr>
            <w:tcW w:w="1440" w:type="dxa"/>
          </w:tcPr>
          <w:p w:rsidR="00972CE1" w:rsidRDefault="00972CE1" w:rsidP="00972CE1">
            <w:r>
              <w:t>4</w:t>
            </w:r>
          </w:p>
        </w:tc>
      </w:tr>
      <w:tr w:rsidR="00972CE1" w:rsidTr="00FF0A60">
        <w:tc>
          <w:tcPr>
            <w:tcW w:w="3420" w:type="dxa"/>
          </w:tcPr>
          <w:p w:rsidR="00972CE1" w:rsidRDefault="009D7A0E" w:rsidP="00972CE1">
            <w:r>
              <w:t>181-365 days</w:t>
            </w:r>
          </w:p>
        </w:tc>
        <w:tc>
          <w:tcPr>
            <w:tcW w:w="1440" w:type="dxa"/>
          </w:tcPr>
          <w:p w:rsidR="00972CE1" w:rsidRDefault="00972CE1" w:rsidP="00972CE1">
            <w:r>
              <w:t>3</w:t>
            </w:r>
          </w:p>
        </w:tc>
      </w:tr>
      <w:tr w:rsidR="00972CE1" w:rsidTr="00FF0A60">
        <w:tc>
          <w:tcPr>
            <w:tcW w:w="3420" w:type="dxa"/>
          </w:tcPr>
          <w:p w:rsidR="00972CE1" w:rsidRDefault="009D7A0E" w:rsidP="00972CE1">
            <w:r>
              <w:t>366 – 546 days</w:t>
            </w:r>
          </w:p>
        </w:tc>
        <w:tc>
          <w:tcPr>
            <w:tcW w:w="1440" w:type="dxa"/>
          </w:tcPr>
          <w:p w:rsidR="00972CE1" w:rsidRDefault="00972CE1" w:rsidP="00972CE1">
            <w:r>
              <w:t>2</w:t>
            </w:r>
          </w:p>
        </w:tc>
      </w:tr>
      <w:tr w:rsidR="00FF0A60" w:rsidTr="00FF0A60">
        <w:tc>
          <w:tcPr>
            <w:tcW w:w="3420" w:type="dxa"/>
          </w:tcPr>
          <w:p w:rsidR="00FF0A60" w:rsidRDefault="009D7A0E" w:rsidP="00FF0A60">
            <w:r>
              <w:t>547 or more</w:t>
            </w:r>
          </w:p>
        </w:tc>
        <w:tc>
          <w:tcPr>
            <w:tcW w:w="1440" w:type="dxa"/>
          </w:tcPr>
          <w:p w:rsidR="00FF0A60" w:rsidRDefault="00FF0A60" w:rsidP="00FF0A60">
            <w:r>
              <w:t>0</w:t>
            </w:r>
            <w:r w:rsidR="00972CE1">
              <w:t xml:space="preserve"> - 1</w:t>
            </w:r>
          </w:p>
        </w:tc>
      </w:tr>
    </w:tbl>
    <w:p w:rsidR="008450B3" w:rsidRDefault="008450B3"/>
    <w:p w:rsidR="00D47706" w:rsidRDefault="00BA038B">
      <w:r>
        <w:rPr>
          <w:b/>
          <w:u w:val="single"/>
        </w:rPr>
        <w:t>Section 7: Program Response to Performance Measures: Projects are encouraged to provide responses to Section 7.</w:t>
      </w:r>
      <w:r>
        <w:t xml:space="preserve"> </w:t>
      </w:r>
      <w:r w:rsidR="002E6E50">
        <w:t>The</w:t>
      </w:r>
      <w:r>
        <w:t xml:space="preserve"> overall</w:t>
      </w:r>
      <w:r w:rsidR="002E6E50">
        <w:t xml:space="preserve"> scoring will </w:t>
      </w:r>
      <w:r w:rsidR="000D7EB3">
        <w:t>utilize data to evaluate performance of each program</w:t>
      </w:r>
      <w:r w:rsidR="00EE56C3">
        <w:t>.</w:t>
      </w:r>
    </w:p>
    <w:p w:rsidR="00D47706" w:rsidRDefault="00D47706">
      <w:pPr>
        <w:rPr>
          <w:b/>
        </w:rPr>
      </w:pPr>
      <w:r w:rsidRPr="00EA555D">
        <w:rPr>
          <w:b/>
          <w:highlight w:val="yellow"/>
        </w:rPr>
        <w:t>Bonus Points: Permanent Housing Projects</w:t>
      </w:r>
      <w:r>
        <w:rPr>
          <w:b/>
        </w:rPr>
        <w:t xml:space="preserve"> may receive either 5 or 0 Bonus Points in response to the Housing First questions. </w:t>
      </w:r>
      <w:r w:rsidR="00EA555D">
        <w:rPr>
          <w:b/>
        </w:rPr>
        <w:t xml:space="preserve">Program must include information that they do not have these barriers. If not all the information is listed is available, then no points can be awarded. </w:t>
      </w:r>
    </w:p>
    <w:p w:rsidR="00D47706" w:rsidRDefault="00D47706" w:rsidP="00D47706">
      <w:pPr>
        <w:pStyle w:val="Default"/>
        <w:rPr>
          <w:rFonts w:ascii="Calibri" w:hAnsi="Calibri" w:cs="Calibri"/>
          <w:color w:val="112D51"/>
          <w:sz w:val="22"/>
          <w:szCs w:val="22"/>
        </w:rPr>
      </w:pPr>
      <w:r>
        <w:rPr>
          <w:rFonts w:ascii="Calibri" w:hAnsi="Calibri" w:cs="Calibri"/>
          <w:b/>
          <w:bCs/>
          <w:color w:val="112D51"/>
          <w:sz w:val="22"/>
          <w:szCs w:val="22"/>
        </w:rPr>
        <w:t xml:space="preserve">Core Elements: </w:t>
      </w: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Admission/tenant screening and selection practices affirm the acceptance of applicants regardless of their sobriety or use of substances, completion of treatment, and participation in services. </w:t>
      </w: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Applicants are seldom rejected on the basis of poor credit or financial history, poor or lack of rental history, minor criminal convictions, or behaviors that indicate a lack of “housing readiness.” </w:t>
      </w: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Housing accepts referrals directly from shelters, street outreach, drop-in centers, and other parts of crisis response system frequented by vulnerable people experiencing homelessness. </w:t>
      </w: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Supportive services emphasize engagement and problem-solving over therapeutic goals. Services plans are highly tenant-driven without predetermined goals. Participation in services or program compliance is not a condition of permanent supportive housing tenancy. Rapid re-housing programs may require case management as condition of receiving rental assistance. </w:t>
      </w: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</w:p>
    <w:p w:rsidR="00D47706" w:rsidRDefault="00D47706" w:rsidP="00D4770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Use of alcohol or drugs in and of itself (without other lease violations) is not considered a reason for eviction. </w:t>
      </w:r>
    </w:p>
    <w:p w:rsidR="00D47706" w:rsidRDefault="00D47706">
      <w:pPr>
        <w:rPr>
          <w:b/>
        </w:rPr>
      </w:pPr>
    </w:p>
    <w:p w:rsidR="00D47706" w:rsidRDefault="00D47706"/>
    <w:p w:rsidR="00780E8D" w:rsidRDefault="00780E8D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sectPr w:rsidR="00780E8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9C" w:rsidRDefault="00A3739C" w:rsidP="00780E8D">
      <w:pPr>
        <w:spacing w:after="0" w:line="240" w:lineRule="auto"/>
      </w:pPr>
      <w:r>
        <w:separator/>
      </w:r>
    </w:p>
  </w:endnote>
  <w:endnote w:type="continuationSeparator" w:id="0">
    <w:p w:rsidR="00A3739C" w:rsidRDefault="00A3739C" w:rsidP="0078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156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1B6A" w:rsidRDefault="00071B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4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71B6A" w:rsidRDefault="00071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9C" w:rsidRDefault="00A3739C" w:rsidP="00780E8D">
      <w:pPr>
        <w:spacing w:after="0" w:line="240" w:lineRule="auto"/>
      </w:pPr>
      <w:r>
        <w:separator/>
      </w:r>
    </w:p>
  </w:footnote>
  <w:footnote w:type="continuationSeparator" w:id="0">
    <w:p w:rsidR="00A3739C" w:rsidRDefault="00A3739C" w:rsidP="0078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A48"/>
    <w:multiLevelType w:val="hybridMultilevel"/>
    <w:tmpl w:val="A5400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0CD5"/>
    <w:multiLevelType w:val="hybridMultilevel"/>
    <w:tmpl w:val="E7404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0A14"/>
    <w:multiLevelType w:val="hybridMultilevel"/>
    <w:tmpl w:val="CF0C8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E224F"/>
    <w:multiLevelType w:val="hybridMultilevel"/>
    <w:tmpl w:val="A2B68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0AD1"/>
    <w:multiLevelType w:val="hybridMultilevel"/>
    <w:tmpl w:val="57EA2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C2924"/>
    <w:multiLevelType w:val="hybridMultilevel"/>
    <w:tmpl w:val="A384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E5612"/>
    <w:multiLevelType w:val="hybridMultilevel"/>
    <w:tmpl w:val="F2E25C3A"/>
    <w:lvl w:ilvl="0" w:tplc="00ECC74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16C2B32"/>
    <w:multiLevelType w:val="hybridMultilevel"/>
    <w:tmpl w:val="A0020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96CD8"/>
    <w:multiLevelType w:val="hybridMultilevel"/>
    <w:tmpl w:val="8F36B3DC"/>
    <w:lvl w:ilvl="0" w:tplc="429251C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4DF51A2"/>
    <w:multiLevelType w:val="hybridMultilevel"/>
    <w:tmpl w:val="D51072DC"/>
    <w:lvl w:ilvl="0" w:tplc="04090019">
      <w:start w:val="1"/>
      <w:numFmt w:val="lowerLetter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A3"/>
    <w:rsid w:val="00006EC0"/>
    <w:rsid w:val="00012335"/>
    <w:rsid w:val="00014B02"/>
    <w:rsid w:val="00061B5C"/>
    <w:rsid w:val="00071B6A"/>
    <w:rsid w:val="0008758E"/>
    <w:rsid w:val="00090606"/>
    <w:rsid w:val="000A5921"/>
    <w:rsid w:val="000D25CF"/>
    <w:rsid w:val="000D7EB3"/>
    <w:rsid w:val="000E70BF"/>
    <w:rsid w:val="00103F00"/>
    <w:rsid w:val="00107E0F"/>
    <w:rsid w:val="001373DA"/>
    <w:rsid w:val="00153F2B"/>
    <w:rsid w:val="001543CB"/>
    <w:rsid w:val="0016383E"/>
    <w:rsid w:val="00185071"/>
    <w:rsid w:val="0019477E"/>
    <w:rsid w:val="00197337"/>
    <w:rsid w:val="00197910"/>
    <w:rsid w:val="001A16DB"/>
    <w:rsid w:val="001C41E4"/>
    <w:rsid w:val="001D4AED"/>
    <w:rsid w:val="001F1820"/>
    <w:rsid w:val="001F253A"/>
    <w:rsid w:val="002301F6"/>
    <w:rsid w:val="002374FD"/>
    <w:rsid w:val="00240C60"/>
    <w:rsid w:val="00241F25"/>
    <w:rsid w:val="00262744"/>
    <w:rsid w:val="0028520D"/>
    <w:rsid w:val="002A0A23"/>
    <w:rsid w:val="002C5CD8"/>
    <w:rsid w:val="002E6E50"/>
    <w:rsid w:val="002F146A"/>
    <w:rsid w:val="002F5076"/>
    <w:rsid w:val="00331DAC"/>
    <w:rsid w:val="00366D7B"/>
    <w:rsid w:val="00380262"/>
    <w:rsid w:val="0038376F"/>
    <w:rsid w:val="0039319A"/>
    <w:rsid w:val="003B6690"/>
    <w:rsid w:val="003D44B3"/>
    <w:rsid w:val="003D4835"/>
    <w:rsid w:val="003F47F6"/>
    <w:rsid w:val="003F5225"/>
    <w:rsid w:val="00410DB7"/>
    <w:rsid w:val="00415D5E"/>
    <w:rsid w:val="00445DDE"/>
    <w:rsid w:val="004514A1"/>
    <w:rsid w:val="004631A9"/>
    <w:rsid w:val="00491ABD"/>
    <w:rsid w:val="0049203F"/>
    <w:rsid w:val="00492930"/>
    <w:rsid w:val="004944CC"/>
    <w:rsid w:val="004944F3"/>
    <w:rsid w:val="004A3777"/>
    <w:rsid w:val="004A5EC6"/>
    <w:rsid w:val="004A6DF3"/>
    <w:rsid w:val="004B433E"/>
    <w:rsid w:val="004C3B2E"/>
    <w:rsid w:val="004D3675"/>
    <w:rsid w:val="0050510D"/>
    <w:rsid w:val="00505A30"/>
    <w:rsid w:val="00523698"/>
    <w:rsid w:val="005278C2"/>
    <w:rsid w:val="00551719"/>
    <w:rsid w:val="00565A68"/>
    <w:rsid w:val="00570ADD"/>
    <w:rsid w:val="00596CC7"/>
    <w:rsid w:val="00597051"/>
    <w:rsid w:val="005B0140"/>
    <w:rsid w:val="005C0CE3"/>
    <w:rsid w:val="005D3302"/>
    <w:rsid w:val="005E6FAA"/>
    <w:rsid w:val="005E70C3"/>
    <w:rsid w:val="006071EB"/>
    <w:rsid w:val="006137ED"/>
    <w:rsid w:val="00651004"/>
    <w:rsid w:val="006662DE"/>
    <w:rsid w:val="00691061"/>
    <w:rsid w:val="006C1584"/>
    <w:rsid w:val="006C3729"/>
    <w:rsid w:val="006D7AC1"/>
    <w:rsid w:val="006E2470"/>
    <w:rsid w:val="00713D0D"/>
    <w:rsid w:val="007269C1"/>
    <w:rsid w:val="00744711"/>
    <w:rsid w:val="00780E8D"/>
    <w:rsid w:val="00783D79"/>
    <w:rsid w:val="007A2F47"/>
    <w:rsid w:val="007D5705"/>
    <w:rsid w:val="007F0179"/>
    <w:rsid w:val="007F1ED1"/>
    <w:rsid w:val="008059FD"/>
    <w:rsid w:val="00817E6C"/>
    <w:rsid w:val="00822911"/>
    <w:rsid w:val="00827544"/>
    <w:rsid w:val="00831493"/>
    <w:rsid w:val="00832F4D"/>
    <w:rsid w:val="00833E7D"/>
    <w:rsid w:val="008450B3"/>
    <w:rsid w:val="008508EE"/>
    <w:rsid w:val="00895C88"/>
    <w:rsid w:val="008A61D8"/>
    <w:rsid w:val="008A6FF0"/>
    <w:rsid w:val="008B6987"/>
    <w:rsid w:val="008C0161"/>
    <w:rsid w:val="008D6375"/>
    <w:rsid w:val="0090549B"/>
    <w:rsid w:val="00924A89"/>
    <w:rsid w:val="0093067A"/>
    <w:rsid w:val="00930742"/>
    <w:rsid w:val="00935DF4"/>
    <w:rsid w:val="00937C34"/>
    <w:rsid w:val="00943A02"/>
    <w:rsid w:val="00950859"/>
    <w:rsid w:val="00950B38"/>
    <w:rsid w:val="00966908"/>
    <w:rsid w:val="00971E7C"/>
    <w:rsid w:val="00972CE1"/>
    <w:rsid w:val="00994224"/>
    <w:rsid w:val="009B3E53"/>
    <w:rsid w:val="009D11DF"/>
    <w:rsid w:val="009D5A06"/>
    <w:rsid w:val="009D7A0E"/>
    <w:rsid w:val="009E172F"/>
    <w:rsid w:val="009E6BAF"/>
    <w:rsid w:val="00A10F9E"/>
    <w:rsid w:val="00A3739C"/>
    <w:rsid w:val="00A508CD"/>
    <w:rsid w:val="00A903A1"/>
    <w:rsid w:val="00AA594D"/>
    <w:rsid w:val="00AB5A86"/>
    <w:rsid w:val="00AE489F"/>
    <w:rsid w:val="00B2505F"/>
    <w:rsid w:val="00B43164"/>
    <w:rsid w:val="00B559EA"/>
    <w:rsid w:val="00B578BC"/>
    <w:rsid w:val="00B65220"/>
    <w:rsid w:val="00B743C7"/>
    <w:rsid w:val="00B8621F"/>
    <w:rsid w:val="00B91F25"/>
    <w:rsid w:val="00BA038B"/>
    <w:rsid w:val="00BB4836"/>
    <w:rsid w:val="00BE6CC7"/>
    <w:rsid w:val="00BF308E"/>
    <w:rsid w:val="00BF729B"/>
    <w:rsid w:val="00C21690"/>
    <w:rsid w:val="00C235AA"/>
    <w:rsid w:val="00C246E4"/>
    <w:rsid w:val="00C37E48"/>
    <w:rsid w:val="00C43D27"/>
    <w:rsid w:val="00C45BF2"/>
    <w:rsid w:val="00C47CE3"/>
    <w:rsid w:val="00C54258"/>
    <w:rsid w:val="00C618EF"/>
    <w:rsid w:val="00C71A9E"/>
    <w:rsid w:val="00C727FE"/>
    <w:rsid w:val="00C82207"/>
    <w:rsid w:val="00C869C6"/>
    <w:rsid w:val="00C901A4"/>
    <w:rsid w:val="00C92EE1"/>
    <w:rsid w:val="00C97D56"/>
    <w:rsid w:val="00CC39CD"/>
    <w:rsid w:val="00CC4DD4"/>
    <w:rsid w:val="00D139E5"/>
    <w:rsid w:val="00D22BF9"/>
    <w:rsid w:val="00D25CD3"/>
    <w:rsid w:val="00D37A78"/>
    <w:rsid w:val="00D4096D"/>
    <w:rsid w:val="00D47706"/>
    <w:rsid w:val="00D52C9C"/>
    <w:rsid w:val="00D5613C"/>
    <w:rsid w:val="00D84283"/>
    <w:rsid w:val="00DD7A87"/>
    <w:rsid w:val="00DE610F"/>
    <w:rsid w:val="00DF319F"/>
    <w:rsid w:val="00DF675D"/>
    <w:rsid w:val="00E03717"/>
    <w:rsid w:val="00E05110"/>
    <w:rsid w:val="00E0641B"/>
    <w:rsid w:val="00E10B36"/>
    <w:rsid w:val="00E128AD"/>
    <w:rsid w:val="00E13A04"/>
    <w:rsid w:val="00E16105"/>
    <w:rsid w:val="00E5747F"/>
    <w:rsid w:val="00E776FA"/>
    <w:rsid w:val="00E9388A"/>
    <w:rsid w:val="00E96254"/>
    <w:rsid w:val="00EA555D"/>
    <w:rsid w:val="00EA6922"/>
    <w:rsid w:val="00EA6B0D"/>
    <w:rsid w:val="00EC6179"/>
    <w:rsid w:val="00EE27AD"/>
    <w:rsid w:val="00EE56C3"/>
    <w:rsid w:val="00F049A3"/>
    <w:rsid w:val="00F25F6A"/>
    <w:rsid w:val="00F73100"/>
    <w:rsid w:val="00F84135"/>
    <w:rsid w:val="00F91B28"/>
    <w:rsid w:val="00F948F1"/>
    <w:rsid w:val="00FB6029"/>
    <w:rsid w:val="00FC17B0"/>
    <w:rsid w:val="00FD36A3"/>
    <w:rsid w:val="00FD5901"/>
    <w:rsid w:val="00FD6145"/>
    <w:rsid w:val="00FF0A60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8D"/>
  </w:style>
  <w:style w:type="paragraph" w:styleId="Footer">
    <w:name w:val="footer"/>
    <w:basedOn w:val="Normal"/>
    <w:link w:val="FooterChar"/>
    <w:uiPriority w:val="99"/>
    <w:unhideWhenUsed/>
    <w:rsid w:val="0078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8D"/>
  </w:style>
  <w:style w:type="paragraph" w:customStyle="1" w:styleId="Default">
    <w:name w:val="Default"/>
    <w:rsid w:val="00D477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8D"/>
  </w:style>
  <w:style w:type="paragraph" w:styleId="Footer">
    <w:name w:val="footer"/>
    <w:basedOn w:val="Normal"/>
    <w:link w:val="FooterChar"/>
    <w:uiPriority w:val="99"/>
    <w:unhideWhenUsed/>
    <w:rsid w:val="0078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8D"/>
  </w:style>
  <w:style w:type="paragraph" w:customStyle="1" w:styleId="Default">
    <w:name w:val="Default"/>
    <w:rsid w:val="00D477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52C-DF5C-416C-813B-5D46E966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Holko</dc:creator>
  <cp:lastModifiedBy>Marinock, Kathy</cp:lastModifiedBy>
  <cp:revision>2</cp:revision>
  <cp:lastPrinted>2016-08-19T15:27:00Z</cp:lastPrinted>
  <dcterms:created xsi:type="dcterms:W3CDTF">2016-08-19T15:45:00Z</dcterms:created>
  <dcterms:modified xsi:type="dcterms:W3CDTF">2016-08-19T15:45:00Z</dcterms:modified>
</cp:coreProperties>
</file>